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A Comprehensive</w:t>
      </w:r>
      <w:r w:rsidRPr="00086F5C">
        <w:rPr>
          <w:rFonts w:ascii="Arial" w:hAnsi="Arial" w:cs="Arial"/>
          <w:b/>
          <w:bCs/>
          <w:sz w:val="20"/>
          <w:szCs w:val="20"/>
        </w:rPr>
        <w:t xml:space="preserve"> Board Review in Hematology and Medical Oncology</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9/15</w:t>
      </w:r>
      <w:r w:rsidRPr="00086F5C">
        <w:rPr>
          <w:rFonts w:ascii="Arial" w:hAnsi="Arial" w:cs="Arial"/>
          <w:b/>
          <w:bCs/>
          <w:sz w:val="20"/>
          <w:szCs w:val="20"/>
        </w:rPr>
        <w:t>/2025 7:00:00 AM</w:t>
      </w:r>
      <w:r w:rsidRPr="00086F5C">
        <w:rPr>
          <w:rFonts w:ascii="Arial" w:hAnsi="Arial" w:cs="Arial"/>
          <w:b/>
          <w:bCs/>
          <w:sz w:val="20"/>
          <w:szCs w:val="20"/>
        </w:rPr>
        <w:t xml:space="preserve"> - </w:t>
      </w:r>
      <w:r w:rsidR="00086F5C">
        <w:rPr>
          <w:rFonts w:ascii="Arial" w:hAnsi="Arial" w:cs="Arial"/>
          <w:b/>
          <w:bCs/>
          <w:noProof/>
          <w:sz w:val="20"/>
          <w:szCs w:val="20"/>
        </w:rPr>
        <w:t>9/20</w:t>
      </w:r>
      <w:r w:rsidRPr="00086F5C">
        <w:rPr>
          <w:rFonts w:ascii="Arial" w:hAnsi="Arial" w:cs="Arial"/>
          <w:b/>
          <w:bCs/>
          <w:sz w:val="20"/>
          <w:szCs w:val="20"/>
        </w:rPr>
        <w:t>/2025 5:30:00 PM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Gynecologic Oncology, Thoracic Surgery, Colon And Rectal Surgery, Hematology, Medical Oncology, Neurological Surgery, Obstetrics And Gynecology, Urology</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Pharmacist, Pharmacy Technician, Student or Trainee, Nurse - LVN, Nurse - APRN</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2</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Pharmacist, Pharmacy Technician, Student or Trainee, Nurse - LVN, Nurse - APRN</w:instrText>
      </w:r>
      <w:r w:rsidRPr="00086F5C">
        <w:rPr>
          <w:rFonts w:ascii="Arial" w:hAnsi="Arial" w:cs="Arial"/>
          <w:sz w:val="20"/>
          <w:szCs w:val="20"/>
        </w:rPr>
        <w:instrText>"</w:instrText>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Pharmacist, Pharmacy Technician, Student or Trainee, Nurse - LVN, Nurse - APRN</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Pharmacist, Pharmacy Technician, Student or Trainee, Nurse - LVN, Nurse - APRN</w:instrText>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Target Audience:</w:t>
      </w:r>
    </w:p>
    <w:p w:rsidR="00FE547D" w:rsidRPr="00086F5C" w:rsidP="00FE547D">
      <w:pPr>
        <w:ind w:left="2160" w:hanging="1440"/>
        <w:contextualSpacing/>
        <w:rPr>
          <w:rFonts w:ascii="Arial" w:hAnsi="Arial" w:cs="Arial"/>
          <w:sz w:val="20"/>
          <w:szCs w:val="20"/>
        </w:rPr>
      </w:pP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t>Professions:</w:t>
      </w:r>
      <w:r w:rsidRPr="00086F5C">
        <w:rPr>
          <w:rFonts w:ascii="Arial" w:hAnsi="Arial" w:cs="Arial"/>
          <w:sz w:val="20"/>
          <w:szCs w:val="20"/>
        </w:rPr>
        <w:tab/>
      </w:r>
      <w:r w:rsidRPr="00086F5C">
        <w:rPr>
          <w:rFonts w:ascii="Arial" w:hAnsi="Arial" w:cs="Arial"/>
          <w:sz w:val="20"/>
          <w:szCs w:val="20"/>
        </w:rPr>
        <w:t>Physician (MD or DO), Nurse - RN, Pharmacist, Pharmacy Technician, Student or Trainee, Nurse - LVN, Nurse - APRN</w:t>
      </w:r>
    </w:p>
    <w:p w:rsidR="00FE547D" w:rsidRPr="00086F5C" w:rsidP="00FE547D">
      <w:pPr>
        <w:contextualSpacing/>
        <w:rPr>
          <w:rFonts w:ascii="Arial" w:hAnsi="Arial" w:cs="Arial"/>
          <w:sz w:val="20"/>
          <w:szCs w:val="20"/>
        </w:rPr>
      </w:pPr>
    </w:p>
    <w:p w:rsidRPr="00086F5C" w:rsidP="00FE547D">
      <w:pPr>
        <w:contextualSpacing/>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tl w:val="0"/>
        </w:rPr>
        <w:instrText xml:space="preserve">The course is a 6-day comprehensive review of current standards and practices in the management of patients with blood disorders and malignancy. The course is designed to enable the participant to effectively prepare for the American Board of Internal Medicine certification and recertification examinations in Hematology and Medical Oncology. Advances in clinical pharmacology, molecular genetics and risk assessment, and radiation oncology will be included. </w:instrText>
      </w: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rsidP="00FE547D">
      <w:pPr>
        <w:rPr>
          <w:rFonts w:ascii="Arial" w:hAnsi="Arial" w:cs="Arial"/>
          <w:sz w:val="20"/>
          <w:szCs w:val="20"/>
        </w:rPr>
      </w:pPr>
      <w:r>
        <w:rPr>
          <w:rtl w:val="0"/>
        </w:rPr>
        <w:instrText xml:space="preserve">The course is a 6-day comprehensive review of current standards and practices in the management of patients with blood disorders and malignancy. The course is designed to enable the participant to effectively prepare for the American Board of Internal Medicine certification and recertification examinations in Hematology and Medical Oncology. Advances in clinical pharmacology, molecular genetics and risk assessment, and radiation oncology will be included. </w:instrText>
      </w: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rsidP="00FE547D">
      <w:pPr>
        <w:rPr>
          <w:rFonts w:ascii="Arial" w:hAnsi="Arial" w:cs="Arial"/>
          <w:sz w:val="20"/>
          <w:szCs w:val="20"/>
        </w:rPr>
      </w:pPr>
      <w:r>
        <w:rPr>
          <w:rtl w:val="0"/>
        </w:rPr>
        <w:t xml:space="preserve">The course is a 6-day comprehensive review of current standards and practices in the management of patients with blood disorders and malignancy. The course is designed to enable the participant to effectively prepare for the American Board of Internal Medicine certification and recertification examinations in Hematology and Medical Oncology. Advances in clinical pharmacology, molecular genetics and risk assessment, and radiation oncology will be included. </w:t>
      </w: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1 Apply knowledge gained to prepare for the hematology and medical oncology subspecialty and recertification examinations in hematology and medical oncology.</w:instrText>
      </w:r>
    </w:p>
    <w:p w:rsidRPr="00C7780F" w:rsidP="00EC7729">
      <w:pPr>
        <w:rPr>
          <w:rFonts w:ascii="Arial" w:hAnsi="Arial" w:cs="Arial"/>
          <w:sz w:val="20"/>
          <w:szCs w:val="20"/>
        </w:rPr>
      </w:pPr>
      <w:r w:rsidRPr="00C7780F">
        <w:rPr>
          <w:rFonts w:ascii="Arial" w:hAnsi="Arial" w:cs="Arial"/>
          <w:sz w:val="20"/>
          <w:szCs w:val="20"/>
        </w:rPr>
        <w:instrText>2 Utilize current standards of care for patients with cancer, blood disorders and malignancies.</w:instrText>
      </w:r>
    </w:p>
    <w:p w:rsidRPr="00C7780F" w:rsidP="00EC7729">
      <w:pPr>
        <w:rPr>
          <w:rFonts w:ascii="Arial" w:hAnsi="Arial" w:cs="Arial"/>
          <w:sz w:val="20"/>
          <w:szCs w:val="20"/>
        </w:rPr>
      </w:pPr>
      <w:r w:rsidRPr="00C7780F">
        <w:rPr>
          <w:rFonts w:ascii="Arial" w:hAnsi="Arial" w:cs="Arial"/>
          <w:sz w:val="20"/>
          <w:szCs w:val="20"/>
        </w:rPr>
        <w:instrText>3 Demonstrate proficiency of knowledge in hematology and medical oncology.</w:instrText>
      </w:r>
    </w:p>
    <w:p w:rsidRPr="00C7780F" w:rsidP="00EC7729">
      <w:pPr>
        <w:rPr>
          <w:rFonts w:ascii="Arial" w:hAnsi="Arial" w:cs="Arial"/>
          <w:sz w:val="20"/>
          <w:szCs w:val="20"/>
        </w:rPr>
      </w:pPr>
      <w:r w:rsidRPr="00C7780F">
        <w:rPr>
          <w:rFonts w:ascii="Arial" w:hAnsi="Arial" w:cs="Arial"/>
          <w:sz w:val="20"/>
          <w:szCs w:val="20"/>
        </w:rPr>
        <w:instrText>4 Incorporate recent advances in management of hematologic and oncologic patients.</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instrText>1 Apply knowledge gained to prepare for the hematology and medical oncology subspecialty and recertification examinations in hematology and medical oncology.</w:instrText>
      </w:r>
    </w:p>
    <w:p w:rsidRPr="00C7780F" w:rsidP="00EC7729">
      <w:pPr>
        <w:rPr>
          <w:rFonts w:ascii="Arial" w:hAnsi="Arial" w:cs="Arial"/>
          <w:sz w:val="20"/>
          <w:szCs w:val="20"/>
        </w:rPr>
      </w:pPr>
      <w:r w:rsidRPr="00C7780F">
        <w:rPr>
          <w:rFonts w:ascii="Arial" w:hAnsi="Arial" w:cs="Arial"/>
          <w:sz w:val="20"/>
          <w:szCs w:val="20"/>
        </w:rPr>
        <w:instrText>2 Utilize current standards of care for patients with cancer, blood disorders and malignancies.</w:instrText>
      </w:r>
    </w:p>
    <w:p w:rsidRPr="00C7780F" w:rsidP="00EC7729">
      <w:pPr>
        <w:rPr>
          <w:rFonts w:ascii="Arial" w:hAnsi="Arial" w:cs="Arial"/>
          <w:sz w:val="20"/>
          <w:szCs w:val="20"/>
        </w:rPr>
      </w:pPr>
      <w:r w:rsidRPr="00C7780F">
        <w:rPr>
          <w:rFonts w:ascii="Arial" w:hAnsi="Arial" w:cs="Arial"/>
          <w:sz w:val="20"/>
          <w:szCs w:val="20"/>
        </w:rPr>
        <w:instrText>3 Demonstrate proficiency of knowledge in hematology and medical oncology.</w:instrText>
      </w:r>
    </w:p>
    <w:p w:rsidRPr="00C7780F" w:rsidP="00EC7729">
      <w:pPr>
        <w:rPr>
          <w:rFonts w:ascii="Arial" w:hAnsi="Arial" w:cs="Arial"/>
          <w:sz w:val="20"/>
          <w:szCs w:val="20"/>
        </w:rPr>
      </w:pPr>
      <w:r w:rsidRPr="00C7780F">
        <w:rPr>
          <w:rFonts w:ascii="Arial" w:hAnsi="Arial" w:cs="Arial"/>
          <w:sz w:val="20"/>
          <w:szCs w:val="20"/>
        </w:rPr>
        <w:instrText>4 Incorporate recent advances in management of hematologic and oncologic patients.</w:instrText>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b/>
          <w:bCs/>
          <w:sz w:val="20"/>
          <w:szCs w:val="20"/>
        </w:rPr>
        <w:t>Learning Objectives:</w:t>
      </w:r>
    </w:p>
    <w:p w:rsidR="00EC7729" w:rsidRPr="00C7780F" w:rsidP="00EC7729">
      <w:pPr>
        <w:rPr>
          <w:rFonts w:ascii="Arial" w:hAnsi="Arial" w:cs="Arial"/>
          <w:sz w:val="20"/>
          <w:szCs w:val="20"/>
        </w:rPr>
      </w:pPr>
      <w:r w:rsidRPr="00C7780F">
        <w:rPr>
          <w:rFonts w:ascii="Arial" w:hAnsi="Arial" w:cs="Arial"/>
          <w:sz w:val="20"/>
          <w:szCs w:val="20"/>
        </w:rPr>
        <w:t>1 Apply knowledge gained to prepare for the hematology and medical oncology subspecialty and recertification examinations in hematology and medical oncology.</w:t>
      </w:r>
    </w:p>
    <w:p w:rsidRPr="00C7780F" w:rsidP="00EC7729">
      <w:pPr>
        <w:rPr>
          <w:rFonts w:ascii="Arial" w:hAnsi="Arial" w:cs="Arial"/>
          <w:sz w:val="20"/>
          <w:szCs w:val="20"/>
        </w:rPr>
      </w:pPr>
      <w:r w:rsidRPr="00C7780F">
        <w:rPr>
          <w:rFonts w:ascii="Arial" w:hAnsi="Arial" w:cs="Arial"/>
          <w:sz w:val="20"/>
          <w:szCs w:val="20"/>
        </w:rPr>
        <w:t>2 Utilize current standards of care for patients with cancer, blood disorders and malignancies.</w:t>
      </w:r>
    </w:p>
    <w:p w:rsidRPr="00C7780F" w:rsidP="00EC7729">
      <w:pPr>
        <w:rPr>
          <w:rFonts w:ascii="Arial" w:hAnsi="Arial" w:cs="Arial"/>
          <w:sz w:val="20"/>
          <w:szCs w:val="20"/>
        </w:rPr>
      </w:pPr>
      <w:r w:rsidRPr="00C7780F">
        <w:rPr>
          <w:rFonts w:ascii="Arial" w:hAnsi="Arial" w:cs="Arial"/>
          <w:sz w:val="20"/>
          <w:szCs w:val="20"/>
        </w:rPr>
        <w:t>3 Demonstrate proficiency of knowledge in hematology and medical oncology.</w:t>
      </w:r>
    </w:p>
    <w:p w:rsidRPr="00C7780F" w:rsidP="00EC7729">
      <w:pPr>
        <w:rPr>
          <w:rFonts w:ascii="Arial" w:hAnsi="Arial" w:cs="Arial"/>
          <w:sz w:val="20"/>
          <w:szCs w:val="20"/>
        </w:rPr>
      </w:pPr>
      <w:r w:rsidRPr="00C7780F">
        <w:rPr>
          <w:rFonts w:ascii="Arial" w:hAnsi="Arial" w:cs="Arial"/>
          <w:sz w:val="20"/>
          <w:szCs w:val="20"/>
        </w:rPr>
        <w:t>4 Incorporate recent advances in management of hematologic and oncologic patients.</w:t>
      </w:r>
    </w:p>
    <w:p w:rsidR="00EC7729" w:rsidRPr="00C7780F" w:rsidP="00EC7729">
      <w:pPr>
        <w:rPr>
          <w:rFonts w:ascii="Arial" w:hAnsi="Arial" w:cs="Arial"/>
          <w:sz w:val="20"/>
          <w:szCs w:val="20"/>
        </w:rPr>
      </w:pPr>
    </w:p>
    <w:p w:rsidRPr="00C7780F" w:rsidP="00EC7729">
      <w:pPr>
        <w:rPr>
          <w:rFonts w:ascii="Arial" w:hAnsi="Arial" w:cs="Arial"/>
          <w:sz w:val="20"/>
          <w:szCs w:val="20"/>
        </w:rPr>
      </w:pPr>
      <w:r w:rsidRPr="00C7780F">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Live Activity</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51.00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1</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1</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00DA0222" w:rsidP="00DA0222">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Accreditation:</w:t>
      </w:r>
      <w:r w:rsidRPr="00086F5C" w:rsidR="009D1B34">
        <w:rPr>
          <w:rFonts w:ascii="Arial" w:hAnsi="Arial" w:cs="Arial"/>
          <w:b/>
          <w:bCs/>
          <w:sz w:val="20"/>
          <w:szCs w:val="20"/>
        </w:rPr>
        <w:t xml:space="preserve"> </w: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60288"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238106817"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t xml:space="preserve">In support of improving patient care, </w:t>
            </w:r>
            <w:r w:rsidRPr="00086F5C" w:rsidR="00A93DC2">
              <w:rPr>
                <w:rFonts w:ascii="Arial" w:hAnsi="Arial" w:cs="Arial"/>
                <w:bCs/>
                <w:iCs/>
              </w:rPr>
              <w:t>The University of Texas MD Anderson Cancer Center</w:t>
            </w:r>
            <w:r w:rsidRPr="00086F5C" w:rsidR="004C142C">
              <w:rPr>
                <w:rFonts w:ascii="Arial" w:hAnsi="Arial" w:cs="Arial"/>
                <w:bCs/>
                <w:iCs/>
              </w:rPr>
              <w:t xml:space="preserve"> </w:t>
            </w:r>
            <w:r w:rsidRPr="00086F5C">
              <w:rPr>
                <w:rFonts w:ascii="Arial" w:hAnsi="Arial" w:cs="Arial"/>
                <w:bCs/>
                <w:iCs/>
              </w:rPr>
              <w:t>is jointly accredited by the Accreditation Council for Continuing Medical Education (ACCME), the Accreditation Council for Pharmacy Education (ACPE), and the American Nurses Credentialing Center (ANCC)</w:t>
            </w:r>
            <w:r w:rsidRPr="00086F5C" w:rsidR="000B6AB2">
              <w:rPr>
                <w:rFonts w:ascii="Arial" w:hAnsi="Arial" w:cs="Arial"/>
                <w:bCs/>
                <w:iCs/>
              </w:rPr>
              <w:t>,</w:t>
            </w:r>
            <w:r w:rsidRPr="00086F5C">
              <w:rPr>
                <w:rFonts w:ascii="Arial" w:hAnsi="Arial" w:cs="Arial"/>
                <w:bCs/>
                <w:iCs/>
              </w:rPr>
              <w:t xml:space="preserve"> to provide continuing education for the healthcare team.</w: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Pr="00086F5C" w:rsidP="00DA0222">
      <w:pPr>
        <w:rPr>
          <w:rFonts w:ascii="Arial" w:hAnsi="Arial" w:cs="Arial"/>
          <w:sz w:val="20"/>
          <w:szCs w:val="20"/>
        </w:rPr>
      </w:pPr>
      <w:r w:rsidRPr="00086F5C">
        <w:rPr>
          <w:rFonts w:ascii="Arial" w:hAnsi="Arial" w:cs="Arial"/>
          <w:sz w:val="20"/>
          <w:szCs w:val="20"/>
        </w:rPr>
        <w:fldChar w:fldCharType="end"/>
      </w:r>
    </w:p>
    <w:p w:rsidR="00AC503F" w:rsidRPr="00086F5C" w:rsidP="00DA0222">
      <w:pPr>
        <w:rPr>
          <w:rFonts w:ascii="Arial" w:hAnsi="Arial" w:cs="Arial"/>
          <w:sz w:val="20"/>
          <w:szCs w:val="20"/>
        </w:rPr>
      </w:pP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51.00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51.00</w:instrText>
      </w:r>
      <w:r w:rsidRPr="00086F5C">
        <w:rPr>
          <w:rFonts w:ascii="Arial" w:hAnsi="Arial" w:cs="Arial"/>
          <w:sz w:val="20"/>
          <w:szCs w:val="20"/>
        </w:rPr>
        <w:instrText xml:space="preserve"> &gt; 0 "</w:instrText>
      </w:r>
      <w:r w:rsidRPr="00086F5C">
        <w:rPr>
          <w:rFonts w:ascii="Arial" w:hAnsi="Arial" w:cs="Arial"/>
          <w:sz w:val="20"/>
          <w:szCs w:val="20"/>
        </w:rPr>
        <w:instrText>51.00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51.00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separate"/>
      </w:r>
    </w:p>
    <w:p w:rsidR="00B01839" w:rsidRPr="00086F5C" w:rsidP="007C1141">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for a maximum of </w:t>
      </w:r>
      <w:r w:rsidRPr="00086F5C">
        <w:rPr>
          <w:rFonts w:ascii="Arial" w:hAnsi="Arial" w:cs="Arial"/>
          <w:sz w:val="20"/>
          <w:szCs w:val="20"/>
        </w:rPr>
        <w:t>51.00</w:t>
      </w:r>
      <w:r w:rsidRPr="00086F5C">
        <w:rPr>
          <w:rFonts w:ascii="Arial" w:hAnsi="Arial" w:cs="Arial"/>
          <w:sz w:val="20"/>
          <w:szCs w:val="20"/>
        </w:rPr>
        <w:t xml:space="preserve"> </w:t>
      </w:r>
      <w:r w:rsidRPr="00086F5C">
        <w:rPr>
          <w:rFonts w:ascii="Arial" w:hAnsi="Arial" w:cs="Arial"/>
          <w:i/>
          <w:iCs/>
          <w:sz w:val="20"/>
          <w:szCs w:val="20"/>
        </w:rPr>
        <w:t>AMA PRA Category 1</w:t>
      </w:r>
      <w:r w:rsidRPr="00086F5C">
        <w:rPr>
          <w:rFonts w:ascii="Arial" w:hAnsi="Arial" w:cs="Arial"/>
          <w:sz w:val="20"/>
          <w:szCs w:val="20"/>
        </w:rPr>
        <w:t xml:space="preserve"> </w:t>
      </w:r>
      <w:r w:rsidRPr="00086F5C">
        <w:rPr>
          <w:rFonts w:ascii="Arial" w:hAnsi="Arial" w:cs="Arial"/>
          <w:i/>
          <w:iCs/>
          <w:sz w:val="20"/>
          <w:szCs w:val="20"/>
        </w:rPr>
        <w:t>Credits</w:t>
      </w:r>
      <w:r w:rsidRPr="00086F5C">
        <w:rPr>
          <w:rFonts w:ascii="Arial" w:hAnsi="Arial" w:cs="Arial"/>
          <w:sz w:val="20"/>
          <w:szCs w:val="20"/>
          <w:vertAlign w:val="superscript"/>
        </w:rPr>
        <w:t>TM</w:t>
      </w:r>
      <w:r w:rsidRPr="00086F5C">
        <w:rPr>
          <w:rFonts w:ascii="Arial" w:hAnsi="Arial" w:cs="Arial"/>
          <w:sz w:val="20"/>
          <w:szCs w:val="20"/>
        </w:rPr>
        <w:t>. Physicians should claim only the credit commensurate with the extent of their participation in the activity.</w: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sidR="008878B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sidR="008878BC">
        <w:rPr>
          <w:rFonts w:ascii="Arial" w:hAnsi="Arial" w:cs="Arial"/>
          <w:sz w:val="20"/>
          <w:szCs w:val="20"/>
        </w:rPr>
        <w:instrText xml:space="preserve"> for a maximum of </w:instrText>
      </w:r>
      <w:r w:rsidRPr="00086F5C" w:rsidR="008878BC">
        <w:rPr>
          <w:rFonts w:ascii="Arial" w:hAnsi="Arial" w:cs="Arial"/>
          <w:sz w:val="20"/>
          <w:szCs w:val="20"/>
        </w:rPr>
        <w:fldChar w:fldCharType="begin"/>
      </w:r>
      <w:r w:rsidRPr="00086F5C" w:rsidR="008878BC">
        <w:rPr>
          <w:rFonts w:ascii="Arial" w:hAnsi="Arial" w:cs="Arial"/>
          <w:sz w:val="20"/>
          <w:szCs w:val="20"/>
        </w:rPr>
        <w:instrText xml:space="preserve"> MERGEFIELD  EthicsHoursMax \#0.00# </w:instrText>
      </w:r>
      <w:r w:rsidRPr="00086F5C" w:rsidR="008878BC">
        <w:rPr>
          <w:rFonts w:ascii="Arial" w:hAnsi="Arial" w:cs="Arial"/>
          <w:sz w:val="20"/>
          <w:szCs w:val="20"/>
        </w:rPr>
        <w:fldChar w:fldCharType="separate"/>
      </w:r>
      <w:r w:rsidRPr="00086F5C" w:rsidR="008878BC">
        <w:rPr>
          <w:rFonts w:ascii="Arial" w:hAnsi="Arial" w:cs="Arial"/>
          <w:noProof/>
          <w:sz w:val="20"/>
          <w:szCs w:val="20"/>
        </w:rPr>
        <w:instrText>«EthicsHoursMax»</w:instrText>
      </w:r>
      <w:r w:rsidRPr="00086F5C" w:rsidR="008878BC">
        <w:rPr>
          <w:rFonts w:ascii="Arial" w:hAnsi="Arial" w:cs="Arial"/>
          <w:sz w:val="20"/>
          <w:szCs w:val="20"/>
        </w:rPr>
        <w:fldChar w:fldCharType="end"/>
      </w:r>
      <w:r w:rsidRPr="00086F5C">
        <w:rPr>
          <w:rFonts w:ascii="Arial" w:hAnsi="Arial" w:cs="Arial"/>
          <w:sz w:val="20"/>
          <w:szCs w:val="20"/>
        </w:rPr>
        <w:instrText xml:space="preserve"> </w:instrText>
      </w:r>
      <w:r w:rsidRPr="00086F5C" w:rsidR="008878B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1E64CC" w:rsidP="001E64CC">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sidR="00B0183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EB7549" w:rsidRPr="00086F5C" w:rsidP="00EB7549">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EB7549" w:rsidRPr="00086F5C" w:rsidP="00EB754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will award </w:instrText>
      </w:r>
      <w:r w:rsidRPr="00086F5C">
        <w:rPr>
          <w:rFonts w:ascii="Arial" w:hAnsi="Arial" w:cs="Arial"/>
          <w:sz w:val="20"/>
          <w:szCs w:val="20"/>
        </w:rPr>
        <w:fldChar w:fldCharType="begin"/>
      </w:r>
      <w:r w:rsidRPr="00086F5C">
        <w:rPr>
          <w:rFonts w:ascii="Arial" w:hAnsi="Arial" w:cs="Arial"/>
          <w:sz w:val="20"/>
          <w:szCs w:val="20"/>
        </w:rPr>
        <w:instrText xml:space="preserve"> MERGEFIELD  ANCCHoursMax \#0.00# </w:instrText>
      </w:r>
      <w:r w:rsidRPr="00086F5C">
        <w:rPr>
          <w:rFonts w:ascii="Arial" w:hAnsi="Arial" w:cs="Arial"/>
          <w:sz w:val="20"/>
          <w:szCs w:val="20"/>
        </w:rPr>
        <w:fldChar w:fldCharType="separate"/>
      </w:r>
      <w:r w:rsidRPr="00086F5C">
        <w:rPr>
          <w:rFonts w:ascii="Arial" w:hAnsi="Arial" w:cs="Arial"/>
          <w:noProof/>
          <w:sz w:val="20"/>
          <w:szCs w:val="20"/>
        </w:rPr>
        <w:instrText>«ANCCHoursMax»</w:instrText>
      </w:r>
      <w:r w:rsidRPr="00086F5C">
        <w:rPr>
          <w:rFonts w:ascii="Arial" w:hAnsi="Arial" w:cs="Arial"/>
          <w:sz w:val="20"/>
          <w:szCs w:val="20"/>
        </w:rPr>
        <w:fldChar w:fldCharType="end"/>
      </w:r>
      <w:r w:rsidRPr="00086F5C">
        <w:rPr>
          <w:rFonts w:ascii="Arial" w:hAnsi="Arial" w:cs="Arial"/>
          <w:sz w:val="20"/>
          <w:szCs w:val="20"/>
        </w:rPr>
        <w:instrText xml:space="preserve"> Nursing </w:instrText>
      </w:r>
      <w:r>
        <w:rPr>
          <w:rFonts w:ascii="Arial" w:hAnsi="Arial" w:cs="Arial"/>
          <w:sz w:val="20"/>
          <w:szCs w:val="20"/>
        </w:rPr>
        <w:instrText>C</w:instrText>
      </w:r>
      <w:r w:rsidRPr="00086F5C">
        <w:rPr>
          <w:rFonts w:ascii="Arial" w:hAnsi="Arial" w:cs="Arial"/>
          <w:sz w:val="20"/>
          <w:szCs w:val="20"/>
        </w:rPr>
        <w:instrText xml:space="preserve">ontact </w:instrText>
      </w:r>
      <w:r>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w:instrText>
      </w:r>
      <w:r>
        <w:rPr>
          <w:rFonts w:ascii="Arial" w:hAnsi="Arial" w:cs="Arial"/>
          <w:sz w:val="20"/>
          <w:szCs w:val="20"/>
        </w:rPr>
        <w:instrText>.</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EB7549" w:rsidRPr="00086F5C" w:rsidP="00EB7549">
      <w:pPr>
        <w:rPr>
          <w:rFonts w:ascii="Arial" w:hAnsi="Arial" w:cs="Arial"/>
          <w:sz w:val="20"/>
          <w:szCs w:val="20"/>
        </w:rPr>
      </w:pPr>
    </w:p>
    <w:p w:rsidR="00EB7549" w:rsidRPr="00D075DF" w:rsidP="00EB7549">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Fonts w:ascii="Arial" w:hAnsi="Arial" w:cs="Arial"/>
          <w:noProof/>
          <w:sz w:val="20"/>
          <w:szCs w:val="20"/>
        </w:rPr>
        <w:instrText>0.00</w:instrText>
      </w:r>
      <w:r w:rsidRPr="00086F5C">
        <w:rPr>
          <w:rFonts w:ascii="Arial" w:hAnsi="Arial" w:cs="Arial"/>
          <w:sz w:val="20"/>
          <w:szCs w:val="20"/>
        </w:rPr>
        <w:instrText xml:space="preserve"> &gt; 0 " </w:instrText>
      </w:r>
    </w:p>
    <w:p w:rsidR="00EB7549" w:rsidP="00EB7549">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Pr>
          <w:rFonts w:ascii="Arial" w:hAnsi="Arial" w:cs="Arial"/>
          <w:sz w:val="20"/>
          <w:szCs w:val="20"/>
        </w:rPr>
        <w:fldChar w:fldCharType="begin"/>
      </w:r>
      <w:r w:rsidRPr="00086F5C">
        <w:rPr>
          <w:rFonts w:ascii="Arial" w:hAnsi="Arial" w:cs="Arial"/>
          <w:sz w:val="20"/>
          <w:szCs w:val="20"/>
        </w:rPr>
        <w:instrText xml:space="preserve"> MERGEFIELD  AAPACat1HoursMax  \* MERGEFORMAT </w:instrText>
      </w:r>
      <w:r w:rsidRPr="00086F5C">
        <w:rPr>
          <w:rFonts w:ascii="Arial" w:hAnsi="Arial" w:cs="Arial"/>
          <w:sz w:val="20"/>
          <w:szCs w:val="20"/>
        </w:rPr>
        <w:fldChar w:fldCharType="separate"/>
      </w:r>
      <w:r w:rsidRPr="00086F5C">
        <w:rPr>
          <w:rFonts w:ascii="Arial" w:hAnsi="Arial" w:cs="Arial"/>
          <w:noProof/>
          <w:sz w:val="20"/>
          <w:szCs w:val="20"/>
        </w:rPr>
        <w:instrText>«AAPACat1HoursMax»</w:instrText>
      </w:r>
      <w:r w:rsidRPr="00086F5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83509" w:rsidP="00EB7549">
      <w:pPr>
        <w:rPr>
          <w:rFonts w:ascii="Arial" w:hAnsi="Arial" w:cs="Arial"/>
          <w:sz w:val="20"/>
          <w:szCs w:val="20"/>
        </w:rPr>
      </w:pPr>
    </w:p>
    <w:p w:rsidR="001E64CC" w:rsidP="00EB7549">
      <w:pPr>
        <w:rPr>
          <w:rFonts w:ascii="Arial" w:hAnsi="Arial" w:cs="Arial"/>
          <w:sz w:val="20"/>
          <w:szCs w:val="20"/>
        </w:rPr>
      </w:pPr>
      <w:bookmarkStart w:id="0" w:name="_Hlk206063382"/>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noProof/>
          <w:sz w:val="20"/>
          <w:szCs w:val="20"/>
        </w:rPr>
        <w:instrText>0.00</w:instrText>
      </w:r>
      <w:r>
        <w:rPr>
          <w:rFonts w:ascii="Arial" w:hAnsi="Arial" w:cs="Arial"/>
          <w:sz w:val="20"/>
          <w:szCs w:val="20"/>
        </w:rPr>
        <w:instrText xml:space="preserve"> &gt; 0 "The University of Texas MD A</w:instrText>
      </w:r>
      <w:r w:rsidR="00424D3F">
        <w:rPr>
          <w:rFonts w:ascii="Arial" w:hAnsi="Arial" w:cs="Arial"/>
          <w:sz w:val="20"/>
          <w:szCs w:val="20"/>
        </w:rPr>
        <w:instrText>n</w:instrText>
      </w:r>
      <w:r>
        <w:rPr>
          <w:rFonts w:ascii="Arial" w:hAnsi="Arial" w:cs="Arial"/>
          <w:sz w:val="20"/>
          <w:szCs w:val="20"/>
        </w:rPr>
        <w:instrText xml:space="preserve">derson Cancer Center designates this </w:instrText>
      </w:r>
      <w:r>
        <w:rPr>
          <w:rFonts w:ascii="Arial" w:hAnsi="Arial" w:cs="Arial"/>
          <w:sz w:val="20"/>
          <w:szCs w:val="20"/>
        </w:rPr>
        <w:fldChar w:fldCharType="begin"/>
      </w:r>
      <w:r>
        <w:rPr>
          <w:rFonts w:ascii="Arial" w:hAnsi="Arial" w:cs="Arial"/>
          <w:sz w:val="20"/>
          <w:szCs w:val="20"/>
        </w:rPr>
        <w:instrText xml:space="preserve"> MERGEFIELD  ACPEActivityType  \* MERGEFORMAT </w:instrText>
      </w:r>
      <w:r>
        <w:rPr>
          <w:rFonts w:ascii="Arial" w:hAnsi="Arial" w:cs="Arial"/>
          <w:sz w:val="20"/>
          <w:szCs w:val="20"/>
        </w:rPr>
        <w:fldChar w:fldCharType="separate"/>
      </w:r>
      <w:r>
        <w:rPr>
          <w:rFonts w:ascii="Arial" w:hAnsi="Arial" w:cs="Arial"/>
          <w:noProof/>
          <w:sz w:val="20"/>
          <w:szCs w:val="20"/>
        </w:rPr>
        <w:instrText>«ACPEActivityType»</w:instrText>
      </w:r>
      <w:r>
        <w:rPr>
          <w:rFonts w:ascii="Arial" w:hAnsi="Arial" w:cs="Arial"/>
          <w:sz w:val="20"/>
          <w:szCs w:val="20"/>
        </w:rPr>
        <w:fldChar w:fldCharType="end"/>
      </w:r>
      <w:r>
        <w:rPr>
          <w:rFonts w:ascii="Arial" w:hAnsi="Arial" w:cs="Arial"/>
          <w:sz w:val="20"/>
          <w:szCs w:val="20"/>
        </w:rPr>
        <w:instrText xml:space="preserve"> activity for </w:instrText>
      </w:r>
      <w:r>
        <w:rPr>
          <w:rFonts w:ascii="Arial" w:hAnsi="Arial" w:cs="Arial"/>
          <w:sz w:val="20"/>
          <w:szCs w:val="20"/>
        </w:rPr>
        <w:fldChar w:fldCharType="begin"/>
      </w:r>
      <w:r>
        <w:rPr>
          <w:rFonts w:ascii="Arial" w:hAnsi="Arial" w:cs="Arial"/>
          <w:sz w:val="20"/>
          <w:szCs w:val="20"/>
        </w:rPr>
        <w:instrText xml:space="preserve"> MERGEFIELD  ACPEHoursMax  \* MERGEFORMAT </w:instrText>
      </w:r>
      <w:r>
        <w:rPr>
          <w:rFonts w:ascii="Arial" w:hAnsi="Arial" w:cs="Arial"/>
          <w:sz w:val="20"/>
          <w:szCs w:val="20"/>
        </w:rPr>
        <w:fldChar w:fldCharType="separate"/>
      </w:r>
      <w:r>
        <w:rPr>
          <w:rFonts w:ascii="Arial" w:hAnsi="Arial" w:cs="Arial"/>
          <w:noProof/>
          <w:sz w:val="20"/>
          <w:szCs w:val="20"/>
        </w:rPr>
        <w:instrText>«ACPEHoursMax»</w:instrText>
      </w:r>
      <w:r>
        <w:rPr>
          <w:rFonts w:ascii="Arial" w:hAnsi="Arial" w:cs="Arial"/>
          <w:sz w:val="20"/>
          <w:szCs w:val="20"/>
        </w:rPr>
        <w:fldChar w:fldCharType="end"/>
      </w:r>
      <w:r>
        <w:rPr>
          <w:rFonts w:ascii="Arial" w:hAnsi="Arial" w:cs="Arial"/>
          <w:sz w:val="20"/>
          <w:szCs w:val="20"/>
        </w:rPr>
        <w:instrText xml:space="preserve"> hours under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 / "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w:instrText>
      </w:r>
      <w:r w:rsidR="00112F7E">
        <w:rPr>
          <w:rFonts w:ascii="Arial" w:hAnsi="Arial" w:cs="Arial"/>
          <w:sz w:val="20"/>
          <w:szCs w:val="20"/>
        </w:rPr>
        <w:instrText xml:space="preserve"> </w:instrText>
      </w:r>
      <w:r w:rsidRPr="00086F5C">
        <w:rPr>
          <w:rFonts w:ascii="Arial" w:hAnsi="Arial" w:cs="Arial"/>
          <w:sz w:val="20"/>
          <w:szCs w:val="20"/>
        </w:rPr>
        <w:instrText>""</w:instrText>
      </w:r>
      <w:r w:rsidRPr="00086F5C">
        <w:rPr>
          <w:rFonts w:ascii="Arial" w:hAnsi="Arial" w:cs="Arial"/>
          <w:sz w:val="20"/>
          <w:szCs w:val="20"/>
        </w:rPr>
        <w:fldChar w:fldCharType="separate"/>
      </w:r>
      <w:r w:rsidRPr="00086F5C">
        <w:rPr>
          <w:rFonts w:ascii="Arial" w:hAnsi="Arial" w:cs="Arial"/>
          <w:sz w:val="20"/>
          <w:szCs w:val="20"/>
        </w:rPr>
        <w:fldChar w:fldCharType="end"/>
      </w:r>
      <w:r w:rsidR="00327E9D">
        <w:rPr>
          <w:rFonts w:ascii="Arial" w:hAnsi="Arial" w:cs="Arial"/>
          <w:sz w:val="20"/>
          <w:szCs w:val="20"/>
        </w:rPr>
        <w:instrText>.</w:instrText>
      </w:r>
      <w:r>
        <w:rPr>
          <w:rFonts w:ascii="Arial" w:hAnsi="Arial" w:cs="Arial"/>
          <w:sz w:val="20"/>
          <w:szCs w:val="20"/>
        </w:rPr>
        <w:instrText xml:space="preserve"> </w:instrText>
      </w:r>
      <w:r>
        <w:rPr>
          <w:rFonts w:ascii="Arial" w:hAnsi="Arial" w:cs="Arial"/>
          <w:sz w:val="20"/>
          <w:szCs w:val="20"/>
        </w:rPr>
        <w:fldChar w:fldCharType="separate"/>
      </w:r>
      <w:r>
        <w:rPr>
          <w:rFonts w:ascii="Arial" w:hAnsi="Arial" w:cs="Arial"/>
          <w:sz w:val="20"/>
          <w:szCs w:val="20"/>
        </w:rPr>
        <w:fldChar w:fldCharType="end"/>
      </w:r>
      <w:r w:rsidR="006E17F8">
        <w:rPr>
          <w:rFonts w:ascii="Arial" w:hAnsi="Arial" w:cs="Arial"/>
          <w:sz w:val="20"/>
          <w:szCs w:val="20"/>
        </w:rPr>
        <w:fldChar w:fldCharType="begin"/>
      </w:r>
      <w:r w:rsidR="006E17F8">
        <w:rPr>
          <w:rFonts w:ascii="Arial" w:hAnsi="Arial" w:cs="Arial"/>
          <w:sz w:val="20"/>
          <w:szCs w:val="20"/>
        </w:rPr>
        <w:instrText xml:space="preserve"> </w:instrText>
      </w:r>
      <w:r w:rsidR="006E17F8">
        <w:rPr>
          <w:rFonts w:ascii="Arial" w:hAnsi="Arial" w:cs="Arial"/>
          <w:iCs/>
          <w:sz w:val="20"/>
          <w:szCs w:val="20"/>
        </w:rPr>
        <w:instrText xml:space="preserve">IF </w:instrText>
      </w:r>
      <w:r w:rsidR="006E17F8">
        <w:rPr>
          <w:rFonts w:ascii="Arial" w:hAnsi="Arial" w:cs="Arial"/>
          <w:iCs/>
          <w:noProof/>
          <w:sz w:val="20"/>
          <w:szCs w:val="20"/>
        </w:rPr>
        <w:instrText>0.00</w:instrText>
      </w:r>
      <w:r w:rsidR="006E17F8">
        <w:rPr>
          <w:rFonts w:ascii="Arial" w:hAnsi="Arial" w:cs="Arial"/>
          <w:iCs/>
          <w:sz w:val="20"/>
          <w:szCs w:val="20"/>
        </w:rPr>
        <w:instrText xml:space="preserve"> &gt; 0 "</w:instrText>
      </w:r>
      <w:r w:rsidR="005B2F60">
        <w:rPr>
          <w:rFonts w:ascii="Arial" w:hAnsi="Arial" w:cs="Arial"/>
          <w:iCs/>
          <w:sz w:val="20"/>
          <w:szCs w:val="20"/>
        </w:rPr>
        <w:instrText>Credits will be provided to NABP CPE Monitor within 60 days after the activity completion. Learners must provide their NABP e-Profile ID and Date of Birth in their CE Profile for credit to be reported."</w:instrText>
      </w:r>
      <w:r w:rsidR="006E17F8">
        <w:rPr>
          <w:rFonts w:ascii="Arial" w:hAnsi="Arial" w:cs="Arial"/>
          <w:sz w:val="20"/>
          <w:szCs w:val="20"/>
        </w:rPr>
        <w:instrText xml:space="preserve"> </w:instrText>
      </w:r>
      <w:r w:rsidR="006E17F8">
        <w:rPr>
          <w:rFonts w:ascii="Arial" w:hAnsi="Arial" w:cs="Arial"/>
          <w:sz w:val="20"/>
          <w:szCs w:val="20"/>
        </w:rPr>
        <w:fldChar w:fldCharType="separate"/>
      </w:r>
      <w:r w:rsidR="006E17F8">
        <w:rPr>
          <w:rFonts w:ascii="Arial" w:hAnsi="Arial" w:cs="Arial"/>
          <w:sz w:val="20"/>
          <w:szCs w:val="20"/>
        </w:rPr>
        <w:fldChar w:fldCharType="end"/>
      </w:r>
    </w:p>
    <w:p w:rsidR="00EB7549" w:rsidRPr="00086F5C" w:rsidP="00EB7549">
      <w:pPr>
        <w:rPr>
          <w:rFonts w:ascii="Arial" w:hAnsi="Arial" w:cs="Arial"/>
          <w:sz w:val="20"/>
          <w:szCs w:val="20"/>
        </w:rPr>
      </w:pPr>
      <w:bookmarkEnd w:id="0"/>
    </w:p>
    <w:p w:rsidR="00C9727C" w:rsidP="00C9727C">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w:instrText>
      </w:r>
      <w:r w:rsidR="006C0122">
        <w:rPr>
          <w:rFonts w:ascii="Arial" w:hAnsi="Arial" w:cs="Arial"/>
          <w:sz w:val="20"/>
          <w:szCs w:val="20"/>
        </w:rPr>
        <w:instrText>r</w:instrText>
      </w:r>
      <w:r>
        <w:rPr>
          <w:rFonts w:ascii="Arial" w:hAnsi="Arial" w:cs="Arial"/>
          <w:sz w:val="20"/>
          <w:szCs w:val="20"/>
        </w:rPr>
        <w:instrText xml:space="preserve">ovider #4607) is an approved continuing education provider for Social Workers through the Texas State Board of Social Worker Examiners. </w:instrText>
      </w:r>
      <w:r w:rsidR="00A04612">
        <w:rPr>
          <w:rFonts w:ascii="Arial" w:hAnsi="Arial" w:cs="Arial"/>
          <w:sz w:val="20"/>
          <w:szCs w:val="20"/>
        </w:rPr>
        <w:instrText>T</w:instrText>
      </w:r>
      <w:r>
        <w:rPr>
          <w:rFonts w:ascii="Arial" w:hAnsi="Arial" w:cs="Arial"/>
          <w:sz w:val="20"/>
          <w:szCs w:val="20"/>
        </w:rPr>
        <w:instrText xml:space="preserve">his activity has been approved for </w:instrText>
      </w:r>
      <w:r w:rsidR="006E17F8">
        <w:rPr>
          <w:rFonts w:ascii="Arial" w:hAnsi="Arial" w:cs="Arial"/>
          <w:sz w:val="20"/>
          <w:szCs w:val="20"/>
        </w:rPr>
        <w:fldChar w:fldCharType="begin"/>
      </w:r>
      <w:r w:rsidR="006E17F8">
        <w:rPr>
          <w:rFonts w:ascii="Arial" w:hAnsi="Arial" w:cs="Arial"/>
          <w:sz w:val="20"/>
          <w:szCs w:val="20"/>
        </w:rPr>
        <w:instrText xml:space="preserve"> MERGEFIELD  SocialWorkHoursMax  \* MERGEFORMAT </w:instrText>
      </w:r>
      <w:r w:rsidR="006E17F8">
        <w:rPr>
          <w:rFonts w:ascii="Arial" w:hAnsi="Arial" w:cs="Arial"/>
          <w:sz w:val="20"/>
          <w:szCs w:val="20"/>
        </w:rPr>
        <w:fldChar w:fldCharType="separate"/>
      </w:r>
      <w:r w:rsidR="006E17F8">
        <w:rPr>
          <w:rFonts w:ascii="Arial" w:hAnsi="Arial" w:cs="Arial"/>
          <w:noProof/>
          <w:sz w:val="20"/>
          <w:szCs w:val="20"/>
        </w:rPr>
        <w:instrText>«SocialWorkHoursMax»</w:instrText>
      </w:r>
      <w:r w:rsidR="006E17F8">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8C2C1F" w:rsidP="008C2C1F">
      <w:pPr>
        <w:rPr>
          <w:rFonts w:ascii="Arial" w:hAnsi="Arial" w:cs="Arial"/>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Provider #4607) is an approved continuing education provider for Social Workers through the Texas State Board of Social Worker Examiners. This activity has been approved for </w:instrText>
      </w:r>
      <w:r>
        <w:rPr>
          <w:rFonts w:ascii="Arial" w:hAnsi="Arial" w:cs="Arial"/>
          <w:sz w:val="20"/>
          <w:szCs w:val="20"/>
        </w:rPr>
        <w:fldChar w:fldCharType="begin"/>
      </w:r>
      <w:r>
        <w:rPr>
          <w:rFonts w:ascii="Arial" w:hAnsi="Arial" w:cs="Arial"/>
          <w:sz w:val="20"/>
          <w:szCs w:val="20"/>
        </w:rPr>
        <w:instrText xml:space="preserve"> MERGEFIELD  SWCCHoursMax  \* MERGEFORMAT </w:instrText>
      </w:r>
      <w:r>
        <w:rPr>
          <w:rFonts w:ascii="Arial" w:hAnsi="Arial" w:cs="Arial"/>
          <w:sz w:val="20"/>
          <w:szCs w:val="20"/>
        </w:rPr>
        <w:fldChar w:fldCharType="separate"/>
      </w:r>
      <w:r>
        <w:rPr>
          <w:rFonts w:ascii="Arial" w:hAnsi="Arial" w:cs="Arial"/>
          <w:noProof/>
          <w:sz w:val="20"/>
          <w:szCs w:val="20"/>
        </w:rPr>
        <w:instrText>«SWCCHoursMax»</w:instrText>
      </w:r>
      <w:r>
        <w:rPr>
          <w:rFonts w:ascii="Arial" w:hAnsi="Arial" w:cs="Arial"/>
          <w:sz w:val="20"/>
          <w:szCs w:val="20"/>
        </w:rPr>
        <w:fldChar w:fldCharType="end"/>
      </w:r>
      <w:r>
        <w:rPr>
          <w:rFonts w:ascii="Arial" w:hAnsi="Arial" w:cs="Arial"/>
          <w:sz w:val="20"/>
          <w:szCs w:val="20"/>
        </w:rPr>
        <w:instrText xml:space="preserve"> continuing education units</w:instrText>
      </w:r>
      <w:r w:rsidR="004218E4">
        <w:rPr>
          <w:rFonts w:ascii="Arial" w:hAnsi="Arial" w:cs="Arial"/>
          <w:sz w:val="20"/>
          <w:szCs w:val="20"/>
        </w:rPr>
        <w:instrText xml:space="preserve"> (SW - Cultural Competencies)</w:instrText>
      </w:r>
      <w:r>
        <w:rPr>
          <w:rFonts w:ascii="Arial" w:hAnsi="Arial" w:cs="Arial"/>
          <w:sz w:val="20"/>
          <w:szCs w:val="20"/>
        </w:rPr>
        <w:instrText>.</w:instrText>
      </w:r>
    </w:p>
    <w:p w:rsidR="008C2C1F" w:rsidP="008C2C1F">
      <w:pPr>
        <w:rPr>
          <w:rFonts w:ascii="Arial" w:hAnsi="Arial" w:cs="Arial"/>
          <w:sz w:val="20"/>
          <w:szCs w:val="20"/>
        </w:rPr>
      </w:pPr>
    </w:p>
    <w:p w:rsidR="008C2C1F" w:rsidP="008C2C1F">
      <w:pPr>
        <w:rPr>
          <w:rFonts w:ascii="Arial" w:hAnsi="Arial" w:cs="Arial"/>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Provider #4607) is an approved continuing education provider for Social Workers through the Texas State Board of Social Worker Examiners. This activity has been approved for </w:instrText>
      </w:r>
      <w:r w:rsidR="004770E6">
        <w:rPr>
          <w:rFonts w:ascii="Arial" w:hAnsi="Arial" w:cs="Arial"/>
          <w:sz w:val="20"/>
          <w:szCs w:val="20"/>
        </w:rPr>
        <w:fldChar w:fldCharType="begin"/>
      </w:r>
      <w:r w:rsidR="004770E6">
        <w:rPr>
          <w:rFonts w:ascii="Arial" w:hAnsi="Arial" w:cs="Arial"/>
          <w:sz w:val="20"/>
          <w:szCs w:val="20"/>
        </w:rPr>
        <w:instrText xml:space="preserve"> MERGEFIELD  SWEthicsHoursMax  \* MERGEFORMAT </w:instrText>
      </w:r>
      <w:r w:rsidR="004770E6">
        <w:rPr>
          <w:rFonts w:ascii="Arial" w:hAnsi="Arial" w:cs="Arial"/>
          <w:sz w:val="20"/>
          <w:szCs w:val="20"/>
        </w:rPr>
        <w:fldChar w:fldCharType="separate"/>
      </w:r>
      <w:r w:rsidR="004770E6">
        <w:rPr>
          <w:rFonts w:ascii="Arial" w:hAnsi="Arial" w:cs="Arial"/>
          <w:noProof/>
          <w:sz w:val="20"/>
          <w:szCs w:val="20"/>
        </w:rPr>
        <w:instrText>«SWEthicsHoursMax»</w:instrText>
      </w:r>
      <w:r w:rsidR="004770E6">
        <w:rPr>
          <w:rFonts w:ascii="Arial" w:hAnsi="Arial" w:cs="Arial"/>
          <w:sz w:val="20"/>
          <w:szCs w:val="20"/>
        </w:rPr>
        <w:fldChar w:fldCharType="end"/>
      </w:r>
      <w:r>
        <w:rPr>
          <w:rFonts w:ascii="Arial" w:hAnsi="Arial" w:cs="Arial"/>
          <w:sz w:val="20"/>
          <w:szCs w:val="20"/>
        </w:rPr>
        <w:instrText xml:space="preserve"> continuing education units</w:instrText>
      </w:r>
      <w:r w:rsidR="004218E4">
        <w:rPr>
          <w:rFonts w:ascii="Arial" w:hAnsi="Arial" w:cs="Arial"/>
          <w:sz w:val="20"/>
          <w:szCs w:val="20"/>
        </w:rPr>
        <w:instrText xml:space="preserve"> (SW - Ethics)</w:instrText>
      </w:r>
      <w:r>
        <w:rPr>
          <w:rFonts w:ascii="Arial" w:hAnsi="Arial" w:cs="Arial"/>
          <w:sz w:val="20"/>
          <w:szCs w:val="20"/>
        </w:rPr>
        <w:instrText>.</w:instrText>
      </w:r>
    </w:p>
    <w:p w:rsidR="008C2C1F" w:rsidP="008C2C1F">
      <w:pPr>
        <w:rPr>
          <w:rFonts w:ascii="Arial" w:hAnsi="Arial" w:cs="Arial"/>
          <w:sz w:val="20"/>
          <w:szCs w:val="20"/>
        </w:rPr>
      </w:pPr>
    </w:p>
    <w:p w:rsidR="008C2C1F" w:rsidP="008C2C1F">
      <w:pPr>
        <w:rPr>
          <w:rFonts w:ascii="Arial" w:hAnsi="Arial" w:cs="Arial"/>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p>
    <w:p w:rsidR="001E64CC" w:rsidP="00C9727C">
      <w:pPr>
        <w:rPr>
          <w:rFonts w:ascii="Arial" w:hAnsi="Arial" w:cs="Arial"/>
          <w:sz w:val="20"/>
          <w:szCs w:val="20"/>
        </w:rPr>
      </w:pPr>
    </w:p>
    <w:p w:rsidR="007F22F8" w:rsidRPr="00086F5C" w:rsidP="00C9727C">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51.00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instrText>51.00</w:instrText>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sidR="00CB66CC">
        <w:rPr>
          <w:rFonts w:ascii="Arial" w:hAnsi="Arial" w:cs="Arial"/>
          <w:b/>
          <w:iCs/>
          <w:sz w:val="20"/>
          <w:szCs w:val="20"/>
        </w:rPr>
        <w:t>American Board of Internal Medicine</w:t>
      </w:r>
      <w:r w:rsidRPr="00086F5C" w:rsidR="00873259">
        <w:rPr>
          <w:rFonts w:ascii="Arial" w:hAnsi="Arial" w:cs="Arial"/>
          <w:b/>
          <w:iCs/>
          <w:sz w:val="20"/>
          <w:szCs w:val="20"/>
        </w:rPr>
        <w:t xml:space="preserve"> MOC</w:t>
      </w:r>
      <w:r w:rsidRPr="00086F5C" w:rsidR="006231A4">
        <w:rPr>
          <w:rFonts w:ascii="Arial" w:hAnsi="Arial" w:cs="Arial"/>
          <w:b/>
          <w:iCs/>
          <w:sz w:val="20"/>
          <w:szCs w:val="20"/>
        </w:rPr>
        <w:t xml:space="preserve"> Credit</w:t>
      </w:r>
      <w:r w:rsidRPr="00086F5C" w:rsidR="00873259">
        <w:rPr>
          <w:rFonts w:ascii="Arial" w:hAnsi="Arial" w:cs="Arial"/>
          <w:b/>
          <w:iCs/>
          <w:sz w:val="20"/>
          <w:szCs w:val="20"/>
        </w:rPr>
        <w:t>:</w:t>
      </w:r>
    </w:p>
    <w:p w:rsidR="0023061A" w:rsidRPr="00086F5C" w:rsidP="00B00CE5">
      <w:pPr>
        <w:rPr>
          <w:rFonts w:ascii="Arial" w:hAnsi="Arial" w:cs="Arial"/>
          <w:iCs/>
          <w:sz w:val="20"/>
          <w:szCs w:val="20"/>
        </w:rPr>
      </w:pPr>
      <w:r w:rsidRPr="00086F5C">
        <w:rPr>
          <w:rFonts w:ascii="Arial" w:hAnsi="Arial" w:cs="Arial"/>
          <w:iCs/>
          <w:sz w:val="20"/>
          <w:szCs w:val="20"/>
        </w:rPr>
        <w:t>Successful completion of this CME activity, which includes participation in the evaluation component, enables the participant to earn up to</w:t>
      </w:r>
      <w:r w:rsidRPr="00086F5C" w:rsidR="00E13013">
        <w:rPr>
          <w:rFonts w:ascii="Arial" w:hAnsi="Arial" w:cs="Arial"/>
          <w:iCs/>
          <w:sz w:val="20"/>
          <w:szCs w:val="20"/>
        </w:rPr>
        <w:t xml:space="preserve"> </w:t>
      </w:r>
      <w:r w:rsidRPr="00086F5C" w:rsidR="00715BC8">
        <w:rPr>
          <w:rFonts w:ascii="Arial" w:hAnsi="Arial" w:cs="Arial"/>
          <w:iCs/>
          <w:sz w:val="20"/>
          <w:szCs w:val="20"/>
        </w:rPr>
        <w:t>51.00</w:t>
      </w:r>
      <w:r w:rsidRPr="00086F5C" w:rsidR="00715BC8">
        <w:rPr>
          <w:rFonts w:ascii="Arial" w:hAnsi="Arial" w:cs="Arial"/>
          <w:iCs/>
          <w:sz w:val="20"/>
          <w:szCs w:val="20"/>
        </w:rPr>
        <w:t xml:space="preserve"> </w:t>
      </w:r>
      <w:r w:rsidRPr="00086F5C">
        <w:rPr>
          <w:rFonts w:ascii="Arial" w:hAnsi="Arial" w:cs="Arial"/>
          <w:iCs/>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86F5C" w:rsidR="00E13013">
        <w:rPr>
          <w:rFonts w:ascii="Arial" w:hAnsi="Arial" w:cs="Arial"/>
          <w:iCs/>
          <w:sz w:val="20"/>
          <w:szCs w:val="20"/>
        </w:rPr>
        <w:t>.</w:t>
      </w:r>
    </w:p>
    <w:p w:rsidR="00F2366A" w:rsidRPr="00086F5C" w:rsidP="00B00CE5">
      <w:pPr>
        <w:rPr>
          <w:rFonts w:ascii="Arial" w:hAnsi="Arial" w:cs="Arial"/>
          <w:iCs/>
          <w:sz w:val="20"/>
          <w:szCs w:val="20"/>
        </w:rPr>
      </w:pPr>
    </w:p>
    <w:p w:rsidRPr="00086F5C" w:rsidP="00B00CE5">
      <w:pPr>
        <w:rPr>
          <w:rFonts w:ascii="Arial" w:hAnsi="Arial" w:cs="Arial"/>
          <w:sz w:val="20"/>
          <w:szCs w:val="20"/>
        </w:rPr>
      </w:pP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9B4031"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w:instrText>
      </w:r>
      <w:r w:rsidRPr="00086F5C">
        <w:rPr>
          <w:rFonts w:ascii="Arial" w:hAnsi="Arial" w:cs="Arial"/>
          <w:sz w:val="20"/>
          <w:szCs w:val="20"/>
        </w:rPr>
        <w:instrText xml:space="preserve">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w:instrText>
      </w:r>
      <w:r w:rsidR="00041E39">
        <w:rPr>
          <w:rFonts w:ascii="Arial" w:hAnsi="Arial" w:cs="Arial"/>
          <w:b/>
          <w:bCs/>
          <w:sz w:val="20"/>
          <w:szCs w:val="20"/>
        </w:rPr>
        <w:instrText xml:space="preserve"> Self Assesment</w:instrText>
      </w:r>
      <w:r w:rsidRPr="00086F5C">
        <w:rPr>
          <w:rFonts w:ascii="Arial" w:hAnsi="Arial" w:cs="Arial"/>
          <w:b/>
          <w:bCs/>
          <w:sz w:val="20"/>
          <w:szCs w:val="20"/>
        </w:rPr>
        <w:instrText xml:space="preserve">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0757C7" w:rsidRPr="00086F5C" w:rsidP="00EB7549">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Felisha Estelle,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Rodabe N. Amaria,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Pharmaceuticals Corporation (Relationship has ended)|Grant or research support-KSQ|Grant or research support-Erasca|Grant or research support-Erasca|Consulting Fee-Obsidian |Grant or research support-Merck Sharp &amp; Dohme Corp. (any division) (Relationship has ended)|Grant or research support-Bristol-Myers Squibb Company (Relationship has ended)|Grant or research support-Regeneron Pharmaceuticals, Inc.|Grant or research support-Iovance (Relationship has ended)|Membership on Advisory Committees or Review Panels, Board Membership, etc.-Novartis Pharmaceuticals Corporation (Relationship has ended)|Grant or research support-Obsidian|Grant or research support-OnKure|Membership on Advisory Committees or Review Panels, Board Membership, etc.-Bristol-Myers Squibb Company (Relationship has ended)|Membership on Advisory Committees or Review Panels, Board Membership, etc.-TIL Working Group|Membership on Advisory Committees or Review Panels, Board Membership, etc.-Nektar (Relationship has ended)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Nishin Bhadkamkar,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Senthilkumar Damodaran,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D. DiNardo,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Honoraria-AbbVie Inc.|Honoraria-Rigel|Honoraria-Daiichi Sankyo, Inc.|Honoraria-Gilead Sciences, Inc. (Relationship has ended)|Honoraria-Genentech, Inc.|Honoraria-Astellas Scientific and Medical Affairs, Inc. (Relationship has ended)|Honoraria-Bristol-Myers Squibb Company|Honoraria-GlaxoSmithKline|Honoraria-Jazz Pharmaceuticals|Honoraria-Novartis Pharmaceuticals Corporation (Relationship has ended)|Honoraria-Servier Pharmaceuticals|Honoraria-Immunogen (Relationship has ended)|Consulting Fee-Schrodinger|Advisor-Ellipses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Yvonne J. Heung,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Jonasch,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Fee-Aveo|Grant or research support-ProFoundBio|Grant or research support-AbbVie Inc.|Grant or research support-Telix|Grant or research support-Aveo|Grant or research support-Corvus|Consulting Fee-Aravive (Relationship has ended)|Grant or research support-Arrowhead|Consulting Fee-Eisai, Inc.|Honoraria-Exelixis|Honoraria-Ipsen US|Honoraria-Merck Research Laboratories and the Office of the Chief Medical Officer Grants|Grant or research support-Merck Research Laboratories and the Office of the Chief Medical Officer Grants|Membership on Advisory Committees or Review Panels, Board Membership, etc.-Novartis Pharmaceuticals Corporation|Honoraria-Nikang|Grant or research support-Nikang|Honoraria-Takeda (Relationship has ended)|Honoraria-DAVA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Tapan M. Kadia,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support-Bristol-Myers Squibb Company|Honoraria-DAVA Oncology|Speakers Bureau-CURE|Honoraria-DrenBio|Grant or research support-Dren Bio|Grant or research support-Celgene Corporation (Relationship has ended)|Grant or research support-BMS|Honoraria-Biologix (Relationship has ended)|Grant or research support-Janssen Biotech, Inc. (Relationship has ended)|Grant or research support-Incyte Corporation|Grant or research support-Astex|Grant or research support-Abcuro|Grant or research support-Pfizer Inc.|Honoraria-Hikma Pharmaceuticals|Consulting Fee-Genzyme Corporation (Relationship has ended)|Grant or research support-Glycomimetics|Consulting Fee-Sellas|Grant or research support-Sellas|Grant or research support-AbbVie Inc.|Grant or research support-Amgen Inc. (Relationship has ended)|Grant or research support-Genentech, Inc.|Grant or research support-Ascentage|Grant or research support-Cellenkos (Relationship has ended)|Grant or research support-AstraZeneca US (Relationship has ended)|Grant or research support-Astellas Scientific and Medical Affairs, Inc. (Relationship has ended)|Paid consultant-AbbVie Inc.|Paid consultant-Genentech, Inc.|Grant or research support-Genfleet|Grant or research support-Sellas, Inc|Grant or research support-Delta Fly Pharma (Relationship has ended)|Grant or research support-Jazz Pharmaceuticals|Paid consultant-Jazz Pharmaceuticals|Paid consultant-Novartis Pharmaceuticals Corporation|Paid consultant-Daiichi Sankyo, Inc.|Paid consultant-Agios Pharmaceuticals Inc.|Consulting Fee-PinotBio (Relationship has ended)|Consulting Fee-Sanofi US (Relationship has ended)|Paid consultant-Pfizer Inc.|Grant or research support-Regeneron Pharmaceuticals, Inc.|Consulting Fee-Servier Pharmaceuticals|Consulting Fee-Syndax|Consulting Fee-Kura - 03/03/2025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Hagop M. Kantarjian,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Inc.|Grant or research support-Amgen Inc.|Grant or research support-Pfizer Inc.|Grant or research support-Takeda|Consulting Fee-AbbVie Inc.|Consulting Fee-Amgen Inc.|Consulting Fee-Bristol-Myers Squibb Company|Consulting Fee-Pfizer Inc.|Consulting Fee-Takeda - 08/11/2025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S. Karuturi,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Edmund S. Kopetz,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Advisor-Lutris Pharmaceuticals (Relationship has ended)|Consulting Fee-Genentech, Inc.|Grant or research support-EMD Serono Inc.|Consulting Fee-Merck Research Laboratories and the Office of the Chief Medical Officer Grants|Grant or research support-Novartis Pharmaceuticals Corporation (Relationship has ended)|Grant or research support-Lilly USA, LLC|Consulting Fee-Boehringer Ingelheim|Grant or research support-Boehringer Ingelheim|Consulting Fee-Bayer HealthCare Pharmaceuticals, Inc.|Grant or research support-Daiichi Sankyo, Inc.|Consulting Fee-Pfizer Inc.|Grant or research support-Jazz Pharmaceuticals|Consulting Fee-Mirati Therapeutics|Consulting Fee-Flame Biosciences|Consulting Fee-Carina Biotechnology|Grant or research support-Sanofi US (Relationship has ended)|Grant or research support-Guardant Health|Grant or research support-Genentech, Inc.|Grant or research support-MedImmune (Relationship has ended)|Grant or research support-Amgen Inc.|Grant or research support-Lilly USA, LLC|Advisor-Frontier Medicines|Consulting Fee-Frontier Medicines|Consulting Fee-Replimune|Consulting Fee-Bristol-Myers Squibb-Medarex|Consulting Fee-Amgen|Consulting Fee-Tempus|Consulting Fee-Harbinger Oncology|Consulting Fee-Zentalis|Consulting Fee-AVEO|Consulting Fee-Tachyon Therapeutics|Consulting Fee-Agenus|Consulting Fee-Revolution Medicines|Consulting Fee-Kestrel Therapeutics|Consulting Fee-Roche|Grant or research support-BridgeBio|Grant or research support-Cardiff|Grant or research support-Zentalis|Grant or research support-Mirati (Relationship has ended)|Consulting Fee-Arcus Biosciences|Consulting Fee-AstraZeneca Pharmaceutical|Consulting Fee-BeiGene|Consulting Fee-Clasp Therapeutics|Consulting Fee-Cytovation|Consulting Fee-Dewpoint Therapeutics|Consulting Fee-Marengo Therapeutics|Consulting Fee- SageMedic|Consulting Fee-Servier|Consulting Fee-Sibylla|Consulting Fee-T-Cypher Bio|Consulting Fee-XAIRA|Consulting Fee-AmMax Bio|Consulting Fee-Ikena|Grant or research support-Sankyo|Grant or research support-Pfizer Inc.|Grant or research support-BioMed Valley - 08/15/2025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Leonard J Medeiros,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Shreyaskumar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Fee-Daiichi Sankyo, Inc.|Consulting Fee-Deciphera|Consulting Fee-Kura Oncology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A. Shelburne III, MD, Fellow Infectious Diseases Society of America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R. Westin,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support-AstraZeneca US|Grant or research support-Allogene|Paid consultant-Allogene|Paid consultant-AbbVie Inc.|Paid consultant-Nurix|Grant or research support-Nurix|Paid consultant-Pfizer Inc.|Grant or research support-Merck Sharp &amp; Dohme Corp. (any division) (Relationship has ended)|Paid consultant-ADC Therapeutics|Paid consultant-Morphosys|Paid consultant-Novartis Pharmaceuticals Corporation|Paid consultant-Gilead Sciences, Inc.|Paid consultant-Genentech, Inc.|Grant or research support-Johnson &amp; Johnson (any division)|Grant or research support-Gilead Sciences, Inc.|Grant or research support-Bristol-Myers Squibb Company|Grant or research support-Morphosys|Grant or research support-Genentech, Inc.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A. Wolff,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A. Rauh-Hain,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Paolo Strati,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Fee-Genentech, Inc.|Advisor-Incyte (Relationship has ended)|Advisor-Sobi (Relationship has ended)|Advisor-ADC Therapeutics (Relationship has ended)|Grant or research support-ADC Therapeutics|Advisor-TG Therapeutics (Relationship has ended)|Advisor-Hutchinson MediPharma (Relationship has ended)|Advisor-Kite-Gilead (Relationship has ended)|Grant or research support-Gilead Sciences, Inc.|Advisor-AstraZeneca US (Relationship has ended)|Grant or research support-AstraZeneca US|Grant or research support-ALX Oncology|Advisor-AbbVie Inc.|Advisor-Genmab|Advisor-Ipsen US|Advisor-Novartis Pharmaceuticals Corporation - 08/12/2025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Mimi I. Hu,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support-Lilly USA, LLC|Membership on Advisory Committees or Review Panels, Board Membership, etc.-Lilly USA, LLC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Arlene O. Siefker-Radtke,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etc.-Janssen Biotech, Inc.|Honoraria-Immunomedics|Honoraria-Loxo|Honoraria-Janssen Biotech, Inc.|Honoraria-Merck Sharp &amp; Dohme Corp. (any division)|Honoraria-Gilead Sciences, Inc.|Grant or research support-Bristol-Myers Squibb Company|Grant or research support-Janssen Biotech, Inc.|Grant or research support-Merck Research Laboratories and the Office of the Chief Medical Officer Grants|Honoraria-Bristol-Myers Squibb Company|Honoraria-Seattle Genetics, Inc.|Honoraria-Taiho Oncology, Inc.|Grant or research support-Basilea Pharmaceutica|Honoraria-G1 Therapeutics|Honoraria-AbbVie Inc.|Honoraria-Astellas Scientific and Medical Affairs, Inc.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K. Litton,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support-Pfizer Inc. (Relationship has ended)|Grant or research support-Merck Research Laboratories and the Office of the Chief Medical Officer Grants (Relationship has ended)|Grant or research support-Zenith (Relationship has ended)|Grant or research support-AstraZeneca US (Relationship has ended)|Grant or research support-EMD Serono Inc. (Relationship has ended)|Grant or research support-GlaxoSmithKline (Relationship has ended)|Grant or research support-Genentech, Inc. (Relationship has ended)|Speakers Bureau-Clinical Care Options|Royalties or Patent Beneficiary-Certis|Speakers Bureau-tumorboardtues (Relationship has ended)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Alessandra Ferrajoli,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etc.-AbbVie Inc. (Relationship has ended)|Membership on Advisory Committees or Review Panels, Board Membership, etc.-AstraZeneca US (Relationship has ended)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Caitlin R Rausch, PharmD, BCOP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S. Chien,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H. Giordano, MD, FASCO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 Reviewer,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M. Gay,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Advisor-G1 Therapeutics (Relationship has ended)|Advisor-Boehringer Ingelheim (Relationship has ended)|Advisor-Amgen Inc. (Relationship has ended)|Advisor-BeOne (Relationship has ended)|Advisor-Abdera Therapeutics (Relationship has ended)|Advisor-AstraZeneca US (Relationship has ended)|Advisor-Jazz Pharmaceuticals|Grant or research support-AstraZeneca US|Speakers Bureau-AstraZeneca US|Advisor-Daiichi Sankyo, Inc. (Relationship has ended)|Advisor-Catalyst (Relationship has ended)|Speakers Bureau-Dava Oncology (Relationship has ended) - 07/02/2025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Neal S. Akhave,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Inc. (Relationship has ended) - 07/25/2025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Mariana C. Chavez MacGregor, MD, Profesor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Pharmaceuticals Corporation (Relationship has ended)|Advisor-Novartis Pharmaceuticals Corporation|Consulting Fee-Merck Research Laboratories and the Office of the Chief Medical Officer Grants (Relationship has ended)|Grant or research support-Lilly USA, LLC|Consulting Fee-Daiichi Sankyo, Inc. (Relationship has ended)|Membership on Advisory Committees or Review Panels, Board Membership, etc.-Pfizer Inc.|Membership on Advisory Committees or Review Panels, Board Membership, etc.-AstraZeneca US|Membership on Advisory Committees or Review Panels, Board Membership, etc.-Genentech, Inc.|Advisor-Genomic Health, Inc. (Relationship has ended) - 07/31/2025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Kaiwen Wang,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Advisor-Pfizer Inc.|Advisor-Janssen Biotech, Inc. - 07/25/2025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Abenaa M. Brewster,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Martha Mims,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funds-Amgen Inc.|Stocks or stock options, excluding diversified mutual funds-Biogen Inc.|Grant or research support-Janssen Biotech, Inc.|Grant or research support-Celgene Corporation|Grant or research support-Incyte Corporation|Grant or research support-inovio - 03/05/2025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Kenneth Bauer,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Fee-Sanofi US (Relationship has ended) - 07/03/2025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Jorge Cortes,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Advisor-Pfizer Inc.|Advisor-Novartis Pharmaceuticals Corporation|Grant or research support-Novartis Pharmaceuticals Corporation|Advisor-Sun Pharma|Grant or research support-Sun Pharma|Advisor-Takeda|Advisor-BioPath Holdings|Grant or research support-AbbVie Inc.|Grant or research support-Ascentage|Advisor-Ascentage|Advisor-Tern Pharma|Advisor-Syndax|Grant or research support-Kuro Oncology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Ravin J. Garg,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Nasser H.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support-Merck Research Laboratories and the Office of the Chief Medical Officer Grants|Grant or research support-Genentech, Inc.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Claudine Isaacs, MD, FRCPC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Fee-Genentech, Inc.|Consulting Fee-Seattle Genetics, Inc.|Consulting Fee-AstraZeneca US|Consulting Fee-Novartis Pharmaceuticals Corporation|Consulting Fee-PUMA|Consulting Fee-Pfizer Inc.|Consulting Fee-ION Solutions (Relationship has ended)|Consulting Fee-Gilead Sciences, Inc.|Consulting Fee-Merck Sharp &amp; Dohme Corp. (any division)|Honoraria-Medscape|Honoraria-MJH Holdings|Royalties or Patent Beneficiary-Wolters Kluwer|Royalties or Patent Beneficiary-McGraw Hill - 07/25/2025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Lewis,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Inc. (Relationship has ended)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 Moll,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O'Brien,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Fee-AbbVie Inc.|Consulting Fee-Regeneron Pharmaceuticals, Inc.|Consulting Fee-Pharmacyclics LLC|Consulting Fee-Johnson &amp; Johnson (any division)|Consulting Fee-Janssen Biotech, Inc.|Consulting Fee-GlaxoSmithKline|Consulting Fee-Genentech, Inc.|Consulting Fee-Bristol-Myers Squibb Company|Consulting Fee-AstraZeneca US|Grant or research support-Caribou|Consulting Fee-Autolus - 07/10/2025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Olson,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Fee-bluebird bio|Membership on Advisory Committees or Review Panels, Board Membership, etc.-Miltenyi (Relationship has ended)|Membership on Advisory Committees or Review Panels, Board Membership, etc.-Pfizer Inc. (Relationship has ended)|Membership on Advisory Committees or Review Panels, Board Membership, etc.-Medexus (Relationship has ended)|Other: Data Safey Monitoring Board-Elixergin Therapeutics (Relationship has ended)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Antonio Omuro,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support-Arcus Biosciences|Consulting Fee-Ono Pharma USA, Inc (Relationship has ended)|Consulting Fee-Servier Pharmaceuticals (Relationship has ended)|Consulting Fee-Curevac AG (Relationship has ended)|Consulting Fee-Nurix (Relationship has ended)|Consulting Fee-Telix (Relationship has ended)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 Vincent Rajkumar,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 Koneti Rao,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N. William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US|Consulting Fee-Amgen Inc.|Consulting Fee-Bayer HealthCare Pharmaceuticals, Inc.|Consulting Fee-Boehringer Ingelheim|Consulting Fee-Bristol-Myers Squibb Company|Consulting Fee-Janssen Biotech, Inc.|Consulting Fee-Lilly USA, LLC|Consulting Fee-Merck Sharp &amp; Dohme Corp. (any division)|Consulting Fee-Novartis Pharmaceuticals Corporation|Consulting Fee-Pfizer Inc.|Consulting Fee-Sanofi Genzyme|Consulting Fee-Genentech, Inc.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Harry H. Yoon,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support-Bristol-Myers Squibb Company|Membership on Advisory Committees or Review Panels, Board Membership, etc.-Daiichi Sankyo, Inc.|Advisor-Janssen Biotech, Inc. (Relationship has ended)|Advisor-Bayer HealthCare Pharmaceuticals, Inc. (Relationship has ended)|Grant or research support-BeiGene|Grant or research support-Amgen Inc.|Grant or research support-CARsgen Therapeutics|Grant or research support-Macrogenics|Grant or research support-Merck Sharp &amp; Dohme Corp. (any division)|Advisor-ALX Oncology|Advisor-AstraZeneca US|Advisor-BeiGene|Advisor-Bristol-Myers Squibb Company|Advisor-Macrogenics|Advisor-Merck Sharp &amp; Dohme Corp. (any division)|Advisor-OncXerna|Advisor-Zymeworks|Advisor-Novartis Pharmaceuticals Corporation|Advisor-Astellas Scientific and Medical Affairs, Inc.|Advisor-Elevation Oncology (Relationship has ended)|Advisor-Amgen Inc. - 07/08/2025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D. Gilligan, MD, FASCO, FACH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Betty Hamilton,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etc.-Incyte Corporation|Grant or research support-Angiocrine|Membership on Advisory Committees or Review Panels, Board Membership, etc.-Maat Pharma (Relationship has ended)|Membership on Advisory Committees or Review Panels, Board Membership, etc.-Sanofi US|Membership on Advisory Committees or Review Panels, Board Membership, etc.-CSL Behring|Honoraria-ACI Group - 08/08/2025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Nancy Berliner,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Claire Mach,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Kerry O'Brien,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Raajit Rampal,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Fee-Incyte Corporation|Consulting Fee-Celgene Corporation|Consulting Fee-Bristol-Myers Squibb Company|Consulting Fee-Blueprint Medicines Corporation|Consulting Fee-AbbVie Inc.|Consulting Fee-CTI|Consulting Fee-Stemline|Consulting Fee-Galecto|Consulting Fee-Pharmaessentia|Consulting Fee-Jubilant|Consulting Fee-Constellation|Consulting Fee-Morphosys|Consulting Fee-Sierra Oncology|Consulting Fee-GSK|Consulting Fee-Protagonist|Consulting Fee-Cogent|Consulting Fee-Sumitomo Dainippon|Consulting Fee-Kartos|Consulting Fee-Servier Pharmaceuticals|Consulting Fee-Zentalis|Consulting Fee-Karyopharm Therapeutics|Grant or research support-Constellation Pharmaceuticals|Grant or research support-Ryvu|Grant or research support-Zentalis|Grant or research support-Stemline Therapeutics|Grant or research support-Incyte Corporation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Carthon, MD, PhD,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Senthil Sukumar,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Honoraria-Sanofi Genzyme (Relationship has ended)|Honoraria-Alexion Pharmaceuticals, Inc. (Relationship has ended) - 07/17/2025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Gerald A Soff,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support-Amgen Inc.|Grant or research support-Janssen Biotech, Inc. (Relationship has ended)|Grant or research support-Sobi Pharmaceuticals|Grant or research support-Anthos Therapeutics (Relationship has ended)|Membership on Advisory Committees or Review Panels, Board Membership, etc.-Alpine Immune Sciences, a Vertex Company|Consulting Fee-Sanofi Genzyme|Membership on Advisory Committees or Review Panels, Board Membership, etc.-Novartis Pharmaceuticals Corporation - 07/22/2025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Moskowitz,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speaking-Takeda Pharmaceuticals (Relationship has ended)|Advisor-Pfizer Inc.|Other: speaking-Medscape (Relationship has ended)|Other: speaking-Tessa Therapeutics (Relationship has ended)|Other: speaking-Seagen (Relationship has ended)|Other: advisory-Affimed (Relationship has ended)|Other: advisory-Janpix Limited (Relationship has ended)|Other: advisory-Seattle Genetics (Relationship has ended)|Other: advisory-Kyowa Hakko Kirin Pharma (Relationship has ended)|Grant or research support-Incyte Corporation|Grant or research support-Merck Sharp &amp; Dohme Corp. (any division)|Grant or research support-Bristol-Myers Squibb Company|Grant or research support-Secura-Bio - 07/09/2025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Bethany T Samuelson Bannow, MD, MCR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Fee-Hemabiologics (Relationship has ended) - 07/07/2025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Carla Casulo,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 Mashup Media (Relationship has ended)|Consulting Fee- Mashup Media (Relationship has ended)|Consulting Fee-Bristol-Myers Squibb Company|Honoraria-Bristol-Myers Squibb Company|Consulting Fee-AbbVie Inc.|Honoraria-AbbVie Inc.|Consulting Fee-Genentech, Inc.|Honoraria-Genentech, Inc.|Grant or research support-Genmab|Grant or research support-Gilead Sciences, Inc.|Grant or research support-Genentech, Inc.|Membership on Advisory Committees or Review Panels, Board Membership, etc.-FL Cures Foundation (Relationship has ended)|Membership on Advisory Committees or Review Panels, Board Membership, etc.-American Society of Hematology|Membership on Advisory Committees or Review Panels, Board Membership, etc.-Lymphoma Research Foundation|Honoraria-Genmab|Consulting Fee-Genmab - 07/28/2025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Hinchcliff,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Bureau-AbbVie Inc. - 07/15/2025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Alfred Lee,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Jacquelyn Powers,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- 07/01/2025</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sidRPr="008C2C1F">
        <w:rPr>
          <w:rFonts w:ascii="Arial" w:hAnsi="Arial" w:cs="Arial"/>
          <w:iCs/>
          <w:sz w:val="20"/>
          <w:szCs w:val="20"/>
        </w:rPr>
        <w:t>As a recognized provider by the Joint Accreditation for Interprofessional Continuing Education, we share and transmit your CE/MOC completion data with the ACCME, licensing board(s), and participating certifying boards.</w:t>
      </w:r>
      <w:r w:rsidR="00AC503F">
        <w:rPr>
          <w:rFonts w:ascii="Arial" w:hAnsi="Arial" w:cs="Arial"/>
          <w:iCs/>
          <w:sz w:val="20"/>
          <w:szCs w:val="20"/>
        </w:rPr>
        <w:br/>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w:t>
      </w:r>
      <w:r w:rsidRPr="00230CB2">
        <w:rPr>
          <w:rFonts w:ascii="Arial" w:eastAsia="Times New Roman" w:hAnsi="Arial" w:cs="Arial"/>
          <w:sz w:val="20"/>
          <w:szCs w:val="20"/>
        </w:rPr>
        <w:t xml:space="preserve">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w:t>
      </w:r>
      <w:r w:rsidRPr="00230CB2">
        <w:rPr>
          <w:rFonts w:ascii="Arial" w:hAnsi="Arial" w:cs="Arial"/>
          <w:sz w:val="20"/>
          <w:szCs w:val="20"/>
        </w:rPr>
        <w:t>in order to</w:t>
      </w:r>
      <w:r w:rsidRPr="00230CB2">
        <w:rPr>
          <w:rFonts w:ascii="Arial" w:hAnsi="Arial" w:cs="Arial"/>
          <w:sz w:val="20"/>
          <w:szCs w:val="20"/>
        </w:rPr>
        <w:t xml:space="preserve">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lick the MOC Test button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Diplomate ID and Date of Birth MM/DD</w:t>
      </w:r>
      <w:r w:rsidRPr="007F0C0A">
        <w:rPr>
          <w:rFonts w:ascii="Arial" w:hAnsi="Arial" w:cs="Arial"/>
          <w:sz w:val="20"/>
          <w:szCs w:val="20"/>
        </w:rPr>
        <w:t xml:space="preserve">) </w:t>
      </w:r>
      <w:r w:rsidR="00AC503F">
        <w:rPr>
          <w:rFonts w:ascii="Arial" w:hAnsi="Arial" w:cs="Arial"/>
          <w:sz w:val="20"/>
          <w:szCs w:val="20"/>
        </w:rPr>
        <w:t>.</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t xml:space="preserve">Contact us: </w:t>
    </w:r>
    <w:r>
      <w:fldChar w:fldCharType="begin"/>
    </w:r>
    <w:r>
      <w:instrText xml:space="preserve"> HYPERLINK "mailto:MDAnderson-CPE@mdanderson.org" </w:instrText>
    </w:r>
    <w:r>
      <w:fldChar w:fldCharType="separate"/>
    </w:r>
    <w:r w:rsidRPr="00F26464" w:rsidR="003D0E4C">
      <w:rPr>
        <w:rStyle w:val="Hyperlink"/>
      </w:rPr>
      <w:t>MDAnderson-CPE@mdanderson.org</w:t>
    </w:r>
    <w:r>
      <w:fldChar w:fldCharType="end"/>
    </w:r>
    <w:r>
      <w:t xml:space="preserve"> </w:t>
    </w:r>
  </w:p>
  <w:p w:rsidR="002B4BA0">
    <w:pPr>
      <w:pStyle w:val="Footer"/>
    </w:pPr>
    <w:r>
      <w:t xml:space="preserve">PEP Website: </w:t>
    </w:r>
    <w:r>
      <w:fldChar w:fldCharType="begin"/>
    </w:r>
    <w:r>
      <w:instrText xml:space="preserve"> HYPERLINK "https://mdanderson.cloud-cme.com/default.aspx" </w:instrText>
    </w:r>
    <w:r>
      <w:fldChar w:fldCharType="separate"/>
    </w:r>
    <w:r w:rsidR="00D13C05">
      <w:rPr>
        <w:rStyle w:val="Hyperlink"/>
      </w:rPr>
      <w:t>https://mdanderson.cloud-cme.com</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22</cp:revision>
  <dcterms:created xsi:type="dcterms:W3CDTF">2024-09-18T19:49:00Z</dcterms:created>
  <dcterms:modified xsi:type="dcterms:W3CDTF">2025-08-14T16:51:00Z</dcterms:modified>
</cp:coreProperties>
</file>