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20th Oncology</w:t>
      </w:r>
      <w:r w:rsidRPr="00086F5C">
        <w:rPr>
          <w:rFonts w:ascii="Arial" w:hAnsi="Arial" w:cs="Arial"/>
          <w:b/>
          <w:bCs/>
          <w:sz w:val="20"/>
          <w:szCs w:val="20"/>
        </w:rPr>
        <w:t xml:space="preserve"> Updates: Advances and Controversies</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1/12</w:t>
      </w:r>
      <w:r w:rsidRPr="00086F5C">
        <w:rPr>
          <w:rFonts w:ascii="Arial" w:hAnsi="Arial" w:cs="Arial"/>
          <w:b/>
          <w:bCs/>
          <w:sz w:val="20"/>
          <w:szCs w:val="20"/>
        </w:rPr>
        <w:t>/2024 7:00:00 AM</w:t>
      </w:r>
      <w:r w:rsidRPr="00086F5C">
        <w:rPr>
          <w:rFonts w:ascii="Arial" w:hAnsi="Arial" w:cs="Arial"/>
          <w:b/>
          <w:bCs/>
          <w:sz w:val="20"/>
          <w:szCs w:val="20"/>
        </w:rPr>
        <w:t xml:space="preserve"> - </w:t>
      </w:r>
      <w:r w:rsidR="00086F5C">
        <w:rPr>
          <w:rFonts w:ascii="Arial" w:hAnsi="Arial" w:cs="Arial"/>
          <w:b/>
          <w:bCs/>
          <w:noProof/>
          <w:sz w:val="20"/>
          <w:szCs w:val="20"/>
        </w:rPr>
        <w:t>1/15</w:t>
      </w:r>
      <w:r w:rsidRPr="00086F5C">
        <w:rPr>
          <w:rFonts w:ascii="Arial" w:hAnsi="Arial" w:cs="Arial"/>
          <w:b/>
          <w:bCs/>
          <w:sz w:val="20"/>
          <w:szCs w:val="20"/>
        </w:rPr>
        <w:t>/2024 10:00:00 AM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Medical Oncology</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Physician Assistant, Other, Nurse - APRN</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2</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Physician Assistant, Other, Nurse - APRN</w:instrText>
      </w:r>
      <w:r w:rsidRPr="00086F5C">
        <w:rPr>
          <w:rFonts w:ascii="Arial" w:hAnsi="Arial" w:cs="Arial"/>
          <w:sz w:val="20"/>
          <w:szCs w:val="20"/>
        </w:rPr>
        <w:instrText>"</w:instrText>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Physician Assistant, Other, Nurse - APRN</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Physician Assistant, Other, Nurse - APRN</w:instrText>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Target Audience:</w:t>
      </w:r>
    </w:p>
    <w:p w:rsidR="00FE547D" w:rsidRPr="00086F5C" w:rsidP="00FE547D">
      <w:pPr>
        <w:ind w:left="2160" w:hanging="1440"/>
        <w:contextualSpacing/>
        <w:rPr>
          <w:rFonts w:ascii="Arial" w:hAnsi="Arial" w:cs="Arial"/>
          <w:sz w:val="20"/>
          <w:szCs w:val="20"/>
        </w:rPr>
      </w:pP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t>Professions:</w:t>
      </w:r>
      <w:r w:rsidRPr="00086F5C">
        <w:rPr>
          <w:rFonts w:ascii="Arial" w:hAnsi="Arial" w:cs="Arial"/>
          <w:sz w:val="20"/>
          <w:szCs w:val="20"/>
        </w:rPr>
        <w:tab/>
      </w:r>
      <w:r w:rsidRPr="00086F5C">
        <w:rPr>
          <w:rFonts w:ascii="Arial" w:hAnsi="Arial" w:cs="Arial"/>
          <w:sz w:val="20"/>
          <w:szCs w:val="20"/>
        </w:rPr>
        <w:t>Physician (MD or DO), Physician Assistant, Other, Nurse - APRN</w:t>
      </w:r>
    </w:p>
    <w:p w:rsidR="00FE547D" w:rsidRPr="00086F5C" w:rsidP="00FE547D">
      <w:pPr>
        <w:contextualSpacing/>
        <w:rPr>
          <w:rFonts w:ascii="Arial" w:hAnsi="Arial" w:cs="Arial"/>
          <w:sz w:val="20"/>
          <w:szCs w:val="20"/>
        </w:rPr>
      </w:pPr>
    </w:p>
    <w:p w:rsidRPr="00086F5C" w:rsidP="00FE547D">
      <w:pPr>
        <w:contextualSpacing/>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Pr>
          <w:rtl w:val="0"/>
        </w:rPr>
        <w:instrText>The treatment of solid tumors continues to evolve and clinicians must stay abreast of the current information and recent therapeutic advances. Many tumor types require multidisciplinary treatment; many therapies previously studied only in advanced and metastatic settings are now applied in early curative stages as well. Healthcare professionals who care for cancer patients in different stages of disease need to understand the basis for these therapies. Additionally, HCPs must apply the preclinical and clinical data supporting the development and integration of these new therapies into their clinical practice. This educational conference will interactively address current management controversies, updates, and novel therapies for multiple tumor types. It will bring together experts from multiple disciplines involved in the treatment of various solid tumors. The expected outcome is the further integration of new cancer care developments into the clinical practice of surgeons, medical oncologists, radiation oncologists, and allied healthcare professionals. This conference is designed to empower these professionals in providing the best possible care for cancer patients.</w:instrText>
      </w: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rsidP="00FE547D">
      <w:pPr>
        <w:rPr>
          <w:rFonts w:ascii="Arial" w:hAnsi="Arial" w:cs="Arial"/>
          <w:sz w:val="20"/>
          <w:szCs w:val="20"/>
        </w:rPr>
      </w:pPr>
      <w:r>
        <w:rPr>
          <w:rtl w:val="0"/>
        </w:rPr>
        <w:instrText>The treatment of solid tumors continues to evolve and clinicians must stay abreast of the current information and recent therapeutic advances. Many tumor types require multidisciplinary treatment; many therapies previously studied only in advanced and metastatic settings are now applied in early curative stages as well. Healthcare professionals who care for cancer patients in different stages of disease need to understand the basis for these therapies. Additionally, HCPs must apply the preclinical and clinical data supporting the development and integration of these new therapies into their clinical practice. This educational conference will interactively address current management controversies, updates, and novel therapies for multiple tumor types. It will bring together experts from multiple disciplines involved in the treatment of various solid tumors. The expected outcome is the further integration of new cancer care developments into the clinical practice of surgeons, medical oncologists, radiation oncologists, and allied healthcare professionals. This conference is designed to empower these professionals in providing the best possible care for cancer patients.</w:instrText>
      </w: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rsidP="00FE547D">
      <w:pPr>
        <w:rPr>
          <w:rFonts w:ascii="Arial" w:hAnsi="Arial" w:cs="Arial"/>
          <w:sz w:val="20"/>
          <w:szCs w:val="20"/>
        </w:rPr>
      </w:pPr>
      <w:r>
        <w:rPr>
          <w:rtl w:val="0"/>
        </w:rPr>
        <w:t>The treatment of solid tumors continues to evolve and clinicians must stay abreast of the current information and recent therapeutic advances. Many tumor types require multidisciplinary treatment; many therapies previously studied only in advanced and metastatic settings are now applied in early curative stages as well. Healthcare professionals who care for cancer patients in different stages of disease need to understand the basis for these therapies. Additionally, HCPs must apply the preclinical and clinical data supporting the development and integration of these new therapies into their clinical practice. This educational conference will interactively address current management controversies, updates, and novel therapies for multiple tumor types. It will bring together experts from multiple disciplines involved in the treatment of various solid tumors. The expected outcome is the further integration of new cancer care developments into the clinical practice of surgeons, medical oncologists, radiation oncologists, and allied healthcare professionals. This conference is designed to empower these professionals in providing the best possible care for cancer patients.</w:t>
      </w: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 xml:space="preserve">1 Utilize an appropriate sequence for surgical, radiation and chemotherapeutic intervention into the treatment of head and neck cancer, gastrointestinal malignancies, melanoma, lung cancer, breast cancer, gynecologic cancer, and genitourinary cancers.  </w:instrText>
      </w:r>
    </w:p>
    <w:p w:rsidRPr="00C7780F" w:rsidP="00EC7729">
      <w:pPr>
        <w:rPr>
          <w:rFonts w:ascii="Arial" w:hAnsi="Arial" w:cs="Arial"/>
          <w:sz w:val="20"/>
          <w:szCs w:val="20"/>
        </w:rPr>
      </w:pPr>
      <w:r w:rsidRPr="00C7780F">
        <w:rPr>
          <w:rFonts w:ascii="Arial" w:hAnsi="Arial" w:cs="Arial"/>
          <w:sz w:val="20"/>
          <w:szCs w:val="20"/>
        </w:rPr>
        <w:instrText>2 Describe and apply an optimal treatment approach when given patient scenarios representing a range of disease stages, clinical presentations and comorbidities.</w:instrText>
      </w:r>
    </w:p>
    <w:p w:rsidRPr="00C7780F" w:rsidP="00EC7729">
      <w:pPr>
        <w:rPr>
          <w:rFonts w:ascii="Arial" w:hAnsi="Arial" w:cs="Arial"/>
          <w:sz w:val="20"/>
          <w:szCs w:val="20"/>
        </w:rPr>
      </w:pPr>
      <w:r w:rsidRPr="00C7780F">
        <w:rPr>
          <w:rFonts w:ascii="Arial" w:hAnsi="Arial" w:cs="Arial"/>
          <w:sz w:val="20"/>
          <w:szCs w:val="20"/>
        </w:rPr>
        <w:instrText xml:space="preserve">3 Incorporate preventive, screening and symptom control modalities in oncology care.  </w:instrText>
      </w:r>
    </w:p>
    <w:p w:rsidRPr="00C7780F" w:rsidP="00EC7729">
      <w:pPr>
        <w:rPr>
          <w:rFonts w:ascii="Arial" w:hAnsi="Arial" w:cs="Arial"/>
          <w:sz w:val="20"/>
          <w:szCs w:val="20"/>
        </w:rPr>
      </w:pPr>
      <w:r w:rsidRPr="00C7780F">
        <w:rPr>
          <w:rFonts w:ascii="Arial" w:hAnsi="Arial" w:cs="Arial"/>
          <w:sz w:val="20"/>
          <w:szCs w:val="20"/>
        </w:rPr>
        <w:instrText>4 Identify patients who will appropriately benefit from novel therapies in the treatment of solid tumors.</w:instrText>
      </w:r>
    </w:p>
    <w:p w:rsidRPr="00C7780F" w:rsidP="00EC7729">
      <w:pPr>
        <w:rPr>
          <w:rFonts w:ascii="Arial" w:hAnsi="Arial" w:cs="Arial"/>
          <w:sz w:val="20"/>
          <w:szCs w:val="20"/>
        </w:rPr>
      </w:pPr>
      <w:r w:rsidRPr="00C7780F">
        <w:rPr>
          <w:rFonts w:ascii="Arial" w:hAnsi="Arial" w:cs="Arial"/>
          <w:sz w:val="20"/>
          <w:szCs w:val="20"/>
        </w:rPr>
        <w:instrText>5 Utilize the different surgical, radiation, and systemic treatments including immunotherapies and molecular-targeted therapies for cancers at varying stages of  disease.</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instrText xml:space="preserve">1 Utilize an appropriate sequence for surgical, radiation and chemotherapeutic intervention into the treatment of head and neck cancer, gastrointestinal malignancies, melanoma, lung cancer, breast cancer, gynecologic cancer, and genitourinary cancers.  </w:instrText>
      </w:r>
    </w:p>
    <w:p w:rsidRPr="00C7780F" w:rsidP="00EC7729">
      <w:pPr>
        <w:rPr>
          <w:rFonts w:ascii="Arial" w:hAnsi="Arial" w:cs="Arial"/>
          <w:sz w:val="20"/>
          <w:szCs w:val="20"/>
        </w:rPr>
      </w:pPr>
      <w:r w:rsidRPr="00C7780F">
        <w:rPr>
          <w:rFonts w:ascii="Arial" w:hAnsi="Arial" w:cs="Arial"/>
          <w:sz w:val="20"/>
          <w:szCs w:val="20"/>
        </w:rPr>
        <w:instrText>2 Describe and apply an optimal treatment approach when given patient scenarios representing a range of disease stages, clinical presentations and comorbidities.</w:instrText>
      </w:r>
    </w:p>
    <w:p w:rsidRPr="00C7780F" w:rsidP="00EC7729">
      <w:pPr>
        <w:rPr>
          <w:rFonts w:ascii="Arial" w:hAnsi="Arial" w:cs="Arial"/>
          <w:sz w:val="20"/>
          <w:szCs w:val="20"/>
        </w:rPr>
      </w:pPr>
      <w:r w:rsidRPr="00C7780F">
        <w:rPr>
          <w:rFonts w:ascii="Arial" w:hAnsi="Arial" w:cs="Arial"/>
          <w:sz w:val="20"/>
          <w:szCs w:val="20"/>
        </w:rPr>
        <w:instrText xml:space="preserve">3 Incorporate preventive, screening and symptom control modalities in oncology care.  </w:instrText>
      </w:r>
    </w:p>
    <w:p w:rsidRPr="00C7780F" w:rsidP="00EC7729">
      <w:pPr>
        <w:rPr>
          <w:rFonts w:ascii="Arial" w:hAnsi="Arial" w:cs="Arial"/>
          <w:sz w:val="20"/>
          <w:szCs w:val="20"/>
        </w:rPr>
      </w:pPr>
      <w:r w:rsidRPr="00C7780F">
        <w:rPr>
          <w:rFonts w:ascii="Arial" w:hAnsi="Arial" w:cs="Arial"/>
          <w:sz w:val="20"/>
          <w:szCs w:val="20"/>
        </w:rPr>
        <w:instrText>4 Identify patients who will appropriately benefit from novel therapies in the treatment of solid tumors.</w:instrText>
      </w:r>
    </w:p>
    <w:p w:rsidRPr="00C7780F" w:rsidP="00EC7729">
      <w:pPr>
        <w:rPr>
          <w:rFonts w:ascii="Arial" w:hAnsi="Arial" w:cs="Arial"/>
          <w:sz w:val="20"/>
          <w:szCs w:val="20"/>
        </w:rPr>
      </w:pPr>
      <w:r w:rsidRPr="00C7780F">
        <w:rPr>
          <w:rFonts w:ascii="Arial" w:hAnsi="Arial" w:cs="Arial"/>
          <w:sz w:val="20"/>
          <w:szCs w:val="20"/>
        </w:rPr>
        <w:instrText>5 Utilize the different surgical, radiation, and systemic treatments including immunotherapies and molecular-targeted therapies for cancers at varying stages of  disease.</w:instrText>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b/>
          <w:bCs/>
          <w:sz w:val="20"/>
          <w:szCs w:val="20"/>
        </w:rPr>
        <w:t>Learning Objectives:</w:t>
      </w:r>
    </w:p>
    <w:p w:rsidR="00EC7729" w:rsidRPr="00C7780F" w:rsidP="00EC7729">
      <w:pPr>
        <w:rPr>
          <w:rFonts w:ascii="Arial" w:hAnsi="Arial" w:cs="Arial"/>
          <w:sz w:val="20"/>
          <w:szCs w:val="20"/>
        </w:rPr>
      </w:pPr>
      <w:r w:rsidRPr="00C7780F">
        <w:rPr>
          <w:rFonts w:ascii="Arial" w:hAnsi="Arial" w:cs="Arial"/>
          <w:sz w:val="20"/>
          <w:szCs w:val="20"/>
        </w:rPr>
        <w:t xml:space="preserve">1 Utilize an appropriate sequence for surgical, radiation and chemotherapeutic intervention into the treatment of head and neck cancer, gastrointestinal malignancies, melanoma, lung cancer, breast cancer, gynecologic cancer, and genitourinary cancers.  </w:t>
      </w:r>
    </w:p>
    <w:p w:rsidRPr="00C7780F" w:rsidP="00EC7729">
      <w:pPr>
        <w:rPr>
          <w:rFonts w:ascii="Arial" w:hAnsi="Arial" w:cs="Arial"/>
          <w:sz w:val="20"/>
          <w:szCs w:val="20"/>
        </w:rPr>
      </w:pPr>
      <w:r w:rsidRPr="00C7780F">
        <w:rPr>
          <w:rFonts w:ascii="Arial" w:hAnsi="Arial" w:cs="Arial"/>
          <w:sz w:val="20"/>
          <w:szCs w:val="20"/>
        </w:rPr>
        <w:t>2 Describe and apply an optimal treatment approach when given patient scenarios representing a range of disease stages, clinical presentations and comorbidities.</w:t>
      </w:r>
    </w:p>
    <w:p w:rsidRPr="00C7780F" w:rsidP="00EC7729">
      <w:pPr>
        <w:rPr>
          <w:rFonts w:ascii="Arial" w:hAnsi="Arial" w:cs="Arial"/>
          <w:sz w:val="20"/>
          <w:szCs w:val="20"/>
        </w:rPr>
      </w:pPr>
      <w:r w:rsidRPr="00C7780F">
        <w:rPr>
          <w:rFonts w:ascii="Arial" w:hAnsi="Arial" w:cs="Arial"/>
          <w:sz w:val="20"/>
          <w:szCs w:val="20"/>
        </w:rPr>
        <w:t xml:space="preserve">3 Incorporate preventive, screening and symptom control modalities in oncology care.  </w:t>
      </w:r>
    </w:p>
    <w:p w:rsidRPr="00C7780F" w:rsidP="00EC7729">
      <w:pPr>
        <w:rPr>
          <w:rFonts w:ascii="Arial" w:hAnsi="Arial" w:cs="Arial"/>
          <w:sz w:val="20"/>
          <w:szCs w:val="20"/>
        </w:rPr>
      </w:pPr>
      <w:r w:rsidRPr="00C7780F">
        <w:rPr>
          <w:rFonts w:ascii="Arial" w:hAnsi="Arial" w:cs="Arial"/>
          <w:sz w:val="20"/>
          <w:szCs w:val="20"/>
        </w:rPr>
        <w:t>4 Identify patients who will appropriately benefit from novel therapies in the treatment of solid tumors.</w:t>
      </w:r>
    </w:p>
    <w:p w:rsidRPr="00C7780F" w:rsidP="00EC7729">
      <w:pPr>
        <w:rPr>
          <w:rFonts w:ascii="Arial" w:hAnsi="Arial" w:cs="Arial"/>
          <w:sz w:val="20"/>
          <w:szCs w:val="20"/>
        </w:rPr>
      </w:pPr>
      <w:r w:rsidRPr="00C7780F">
        <w:rPr>
          <w:rFonts w:ascii="Arial" w:hAnsi="Arial" w:cs="Arial"/>
          <w:sz w:val="20"/>
          <w:szCs w:val="20"/>
        </w:rPr>
        <w:t>5 Utilize the different surgical, radiation, and systemic treatments including immunotherapies and molecular-targeted therapies for cancers at varying stages of  disease.</w:t>
      </w:r>
    </w:p>
    <w:p w:rsidR="00EC7729" w:rsidRPr="00C7780F" w:rsidP="00EC7729">
      <w:pPr>
        <w:rPr>
          <w:rFonts w:ascii="Arial" w:hAnsi="Arial" w:cs="Arial"/>
          <w:sz w:val="20"/>
          <w:szCs w:val="20"/>
        </w:rPr>
      </w:pPr>
    </w:p>
    <w:p w:rsidRPr="00C7780F" w:rsidP="00EC7729">
      <w:pPr>
        <w:rPr>
          <w:rFonts w:ascii="Arial" w:hAnsi="Arial" w:cs="Arial"/>
          <w:sz w:val="20"/>
          <w:szCs w:val="20"/>
        </w:rPr>
      </w:pPr>
      <w:r w:rsidRPr="00C7780F">
        <w:rPr>
          <w:rFonts w:ascii="Arial" w:hAnsi="Arial" w:cs="Arial"/>
          <w:sz w:val="20"/>
          <w:szCs w:val="20"/>
        </w:rPr>
        <w:fldChar w:fldCharType="end"/>
      </w:r>
      <w:r w:rsidRPr="00086F5C" w:rsidR="006655ED">
        <w:rPr>
          <w:rFonts w:ascii="Arial" w:hAnsi="Arial" w:cs="Arial"/>
          <w:sz w:val="20"/>
          <w:szCs w:val="20"/>
        </w:rPr>
        <w:fldChar w:fldCharType="begin"/>
      </w:r>
      <w:r w:rsidRPr="00086F5C" w:rsidR="006655ED">
        <w:rPr>
          <w:rFonts w:ascii="Arial" w:hAnsi="Arial" w:cs="Arial"/>
          <w:sz w:val="20"/>
          <w:szCs w:val="20"/>
        </w:rPr>
        <w:instrText xml:space="preserve"> IF </w:instrText>
      </w:r>
      <w:r w:rsidRPr="00086F5C" w:rsidR="006655ED">
        <w:rPr>
          <w:rFonts w:ascii="Arial" w:hAnsi="Arial" w:cs="Arial"/>
          <w:sz w:val="20"/>
          <w:szCs w:val="20"/>
        </w:rPr>
        <w:instrText>"</w:instrText>
      </w:r>
      <w:r w:rsidRPr="00086F5C" w:rsidR="006655ED">
        <w:rPr>
          <w:rFonts w:ascii="Arial" w:hAnsi="Arial" w:cs="Arial"/>
          <w:sz w:val="20"/>
          <w:szCs w:val="20"/>
        </w:rPr>
        <w:instrText>"</w:instrText>
      </w:r>
      <w:r w:rsidRPr="00086F5C" w:rsidR="006655ED">
        <w:rPr>
          <w:rFonts w:ascii="Arial" w:hAnsi="Arial" w:cs="Arial"/>
          <w:sz w:val="20"/>
          <w:szCs w:val="20"/>
        </w:rPr>
        <w:instrText xml:space="preserve"> &lt;&gt; "" "</w:instrText>
      </w:r>
      <w:r w:rsidRPr="00086F5C" w:rsidR="006655ED">
        <w:rPr>
          <w:rFonts w:ascii="Arial" w:hAnsi="Arial" w:cs="Arial"/>
          <w:b/>
          <w:bCs/>
          <w:sz w:val="20"/>
          <w:szCs w:val="20"/>
        </w:rPr>
        <w:instrText>Pharmacist Objectives:</w:instrText>
      </w:r>
    </w:p>
    <w:p w:rsidR="006655ED"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PharmObjectives </w:instrText>
      </w:r>
      <w:r w:rsidRPr="00086F5C">
        <w:rPr>
          <w:rFonts w:ascii="Arial" w:hAnsi="Arial" w:cs="Arial"/>
          <w:sz w:val="20"/>
          <w:szCs w:val="20"/>
        </w:rPr>
        <w:fldChar w:fldCharType="separate"/>
      </w:r>
      <w:r w:rsidR="00086F5C">
        <w:rPr>
          <w:rFonts w:ascii="Arial" w:hAnsi="Arial" w:cs="Arial"/>
          <w:noProof/>
          <w:sz w:val="20"/>
          <w:szCs w:val="20"/>
        </w:rPr>
        <w:instrText>«PharmObjectives»</w:instrText>
      </w:r>
      <w:r w:rsidRPr="00086F5C">
        <w:rPr>
          <w:rFonts w:ascii="Arial" w:hAnsi="Arial" w:cs="Arial"/>
          <w:sz w:val="20"/>
          <w:szCs w:val="20"/>
        </w:rPr>
        <w:fldChar w:fldCharType="end"/>
      </w:r>
    </w:p>
    <w:p w:rsidR="006655ED" w:rsidRPr="00086F5C" w:rsidP="00B00CE5">
      <w:pPr>
        <w:rPr>
          <w:rFonts w:ascii="Arial" w:hAnsi="Arial" w:cs="Arial"/>
          <w:sz w:val="20"/>
          <w:szCs w:val="20"/>
        </w:rPr>
      </w:pPr>
    </w:p>
    <w:p w:rsidR="00086F5C" w:rsidRPr="00086F5C" w:rsidP="00EC7729">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w:instrText>
      </w:r>
      <w:r w:rsidRPr="00086F5C" w:rsidR="00014FEE">
        <w:rPr>
          <w:rFonts w:ascii="Arial" w:hAnsi="Arial" w:cs="Arial"/>
          <w:b/>
          <w:bCs/>
          <w:sz w:val="20"/>
          <w:szCs w:val="20"/>
        </w:rPr>
        <w:instrText>Pharmacy Technician Objectives:</w:instrText>
      </w:r>
    </w:p>
    <w:p w:rsidR="00014FEE"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PharmTechObjectives </w:instrText>
      </w:r>
      <w:r w:rsidRPr="00086F5C">
        <w:rPr>
          <w:rFonts w:ascii="Arial" w:hAnsi="Arial" w:cs="Arial"/>
          <w:sz w:val="20"/>
          <w:szCs w:val="20"/>
        </w:rPr>
        <w:fldChar w:fldCharType="separate"/>
      </w:r>
      <w:r w:rsidR="00086F5C">
        <w:rPr>
          <w:rFonts w:ascii="Arial" w:hAnsi="Arial" w:cs="Arial"/>
          <w:noProof/>
          <w:sz w:val="20"/>
          <w:szCs w:val="20"/>
        </w:rPr>
        <w:instrText>«PharmTechObjectives»</w:instrText>
      </w:r>
      <w:r w:rsidRPr="00086F5C">
        <w:rPr>
          <w:rFonts w:ascii="Arial" w:hAnsi="Arial" w:cs="Arial"/>
          <w:sz w:val="20"/>
          <w:szCs w:val="20"/>
        </w:rPr>
        <w:fldChar w:fldCharType="end"/>
      </w:r>
    </w:p>
    <w:p w:rsidR="00014FEE" w:rsidRPr="00086F5C" w:rsidP="00B00CE5">
      <w:pPr>
        <w:rPr>
          <w:rFonts w:ascii="Arial" w:hAnsi="Arial" w:cs="Arial"/>
          <w:sz w:val="20"/>
          <w:szCs w:val="20"/>
        </w:rPr>
      </w:pPr>
    </w:p>
    <w:p w:rsidR="00086F5C" w:rsidRPr="00086F5C" w:rsidP="00B00CE5">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IF </w:instrText>
      </w:r>
      <w:r w:rsidRPr="00086F5C" w:rsidR="004E12A8">
        <w:rPr>
          <w:rFonts w:ascii="Arial" w:hAnsi="Arial" w:cs="Arial"/>
          <w:sz w:val="20"/>
          <w:szCs w:val="20"/>
        </w:rPr>
        <w:instrText>0.00</w:instrText>
      </w:r>
      <w:r w:rsidRPr="00086F5C" w:rsidR="004E12A8">
        <w:rPr>
          <w:rFonts w:ascii="Arial" w:hAnsi="Arial" w:cs="Arial"/>
          <w:sz w:val="20"/>
          <w:szCs w:val="20"/>
        </w:rPr>
        <w:instrText xml:space="preserve"> &gt; 0 "</w:instrText>
      </w:r>
      <w:r w:rsidRPr="00086F5C" w:rsidR="004E12A8">
        <w:rPr>
          <w:rFonts w:ascii="Arial" w:hAnsi="Arial" w:cs="Arial"/>
          <w:b/>
          <w:bCs/>
          <w:sz w:val="20"/>
          <w:szCs w:val="20"/>
        </w:rPr>
        <w:instrText>Type of Activity:</w:instrText>
      </w:r>
      <w:r w:rsidRPr="00086F5C" w:rsidR="004E12A8">
        <w:rPr>
          <w:rFonts w:ascii="Arial" w:hAnsi="Arial" w:cs="Arial"/>
          <w:sz w:val="20"/>
          <w:szCs w:val="20"/>
        </w:rPr>
        <w:instrText xml:space="preserve"> </w:instrText>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MERGEFIELD ACPEActivityType </w:instrText>
      </w:r>
      <w:r w:rsidRPr="00086F5C" w:rsidR="004E12A8">
        <w:rPr>
          <w:rFonts w:ascii="Arial" w:hAnsi="Arial" w:cs="Arial"/>
          <w:sz w:val="20"/>
          <w:szCs w:val="20"/>
        </w:rPr>
        <w:fldChar w:fldCharType="separate"/>
      </w:r>
      <w:r w:rsidRPr="00086F5C" w:rsidR="004E12A8">
        <w:rPr>
          <w:rFonts w:ascii="Arial" w:hAnsi="Arial" w:cs="Arial"/>
          <w:sz w:val="20"/>
          <w:szCs w:val="20"/>
        </w:rPr>
        <w:fldChar w:fldCharType="end"/>
      </w:r>
    </w:p>
    <w:p w:rsidR="004E12A8" w:rsidRPr="00086F5C" w:rsidP="00B00CE5">
      <w:pPr>
        <w:rPr>
          <w:rFonts w:ascii="Arial" w:hAnsi="Arial" w:cs="Arial"/>
          <w:sz w:val="20"/>
          <w:szCs w:val="20"/>
        </w:rPr>
      </w:pPr>
    </w:p>
    <w:p w:rsidR="00DA0EF7"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Live Activity</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EF0C38"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Requirements for Successful Activity Completion:</w:instrText>
      </w:r>
    </w:p>
    <w:p w:rsidR="00EF0C38" w:rsidRPr="00086F5C" w:rsidP="00EF0C38">
      <w:pPr>
        <w:rPr>
          <w:rFonts w:ascii="Arial" w:hAnsi="Arial" w:cs="Arial"/>
          <w:sz w:val="20"/>
          <w:szCs w:val="20"/>
        </w:rPr>
      </w:pPr>
      <w:r w:rsidRPr="00086F5C">
        <w:rPr>
          <w:rFonts w:ascii="Arial" w:hAnsi="Arial" w:cs="Arial"/>
          <w:sz w:val="20"/>
          <w:szCs w:val="20"/>
        </w:rPr>
        <w:instrText xml:space="preserve">To successfully complete this activity and be awarded continuing education credit, the following requirements must be met: </w:instrText>
      </w:r>
    </w:p>
    <w:p w:rsidR="00EF0C38" w:rsidRPr="00086F5C" w:rsidP="00EF0C38">
      <w:pPr>
        <w:numPr>
          <w:ilvl w:val="0"/>
          <w:numId w:val="3"/>
        </w:numPr>
        <w:rPr>
          <w:rFonts w:ascii="Arial" w:hAnsi="Arial" w:cs="Arial"/>
          <w:sz w:val="20"/>
          <w:szCs w:val="20"/>
        </w:rPr>
      </w:pPr>
      <w:r w:rsidRPr="00086F5C">
        <w:rPr>
          <w:rFonts w:ascii="Arial" w:hAnsi="Arial" w:cs="Arial"/>
          <w:sz w:val="20"/>
          <w:szCs w:val="20"/>
        </w:rPr>
        <w:instrText xml:space="preserve">View the recording of the live presentation in its entirety, </w:instrText>
      </w:r>
    </w:p>
    <w:p w:rsidR="00EF0C38" w:rsidRPr="00086F5C" w:rsidP="00EF0C38">
      <w:pPr>
        <w:numPr>
          <w:ilvl w:val="0"/>
          <w:numId w:val="3"/>
        </w:numPr>
        <w:rPr>
          <w:rFonts w:ascii="Arial" w:hAnsi="Arial" w:cs="Arial"/>
          <w:sz w:val="20"/>
          <w:szCs w:val="20"/>
        </w:rPr>
      </w:pPr>
      <w:r w:rsidRPr="00086F5C">
        <w:rPr>
          <w:rFonts w:ascii="Arial" w:hAnsi="Arial" w:cs="Arial"/>
          <w:sz w:val="20"/>
          <w:szCs w:val="20"/>
        </w:rPr>
        <w:instrText xml:space="preserve">Complete the Pre- and Post-Tests and the active learning assessment(s) contained within the module, and </w:instrText>
      </w:r>
    </w:p>
    <w:p w:rsidR="00EF0C38" w:rsidRPr="00086F5C" w:rsidP="00EF0C38">
      <w:pPr>
        <w:numPr>
          <w:ilvl w:val="0"/>
          <w:numId w:val="3"/>
        </w:numPr>
        <w:rPr>
          <w:rFonts w:ascii="Arial" w:hAnsi="Arial" w:cs="Arial"/>
          <w:sz w:val="20"/>
          <w:szCs w:val="20"/>
        </w:rPr>
      </w:pPr>
      <w:r w:rsidRPr="00086F5C">
        <w:rPr>
          <w:rFonts w:ascii="Arial" w:hAnsi="Arial" w:cs="Arial"/>
          <w:sz w:val="20"/>
          <w:szCs w:val="20"/>
        </w:rPr>
        <w:instrText xml:space="preserve">Submit the Activity Evaluation, also provided within the module. </w:instrText>
      </w:r>
    </w:p>
    <w:p w:rsidR="00EF0C38" w:rsidRPr="00086F5C" w:rsidP="00EF0C38">
      <w:pPr>
        <w:rPr>
          <w:rFonts w:ascii="Arial" w:hAnsi="Arial" w:cs="Arial"/>
          <w:sz w:val="20"/>
          <w:szCs w:val="20"/>
        </w:rPr>
      </w:pPr>
    </w:p>
    <w:p w:rsidR="00EF0C38" w:rsidRPr="00086F5C" w:rsidP="00EF0C38">
      <w:pPr>
        <w:rPr>
          <w:rFonts w:ascii="Arial" w:hAnsi="Arial" w:cs="Arial"/>
          <w:sz w:val="20"/>
          <w:szCs w:val="20"/>
        </w:rPr>
      </w:pPr>
      <w:r w:rsidRPr="00086F5C">
        <w:rPr>
          <w:rFonts w:ascii="Arial" w:hAnsi="Arial" w:cs="Arial"/>
          <w:sz w:val="20"/>
          <w:szCs w:val="20"/>
        </w:rPr>
        <w:instrText xml:space="preserve">Pharmacists must provide their NABP e-Profile ID and date of birth (MMDD). </w:instrText>
      </w:r>
    </w:p>
    <w:p w:rsidR="00EF0C38" w:rsidRPr="00086F5C" w:rsidP="00EF0C38">
      <w:pPr>
        <w:rPr>
          <w:rFonts w:ascii="Arial" w:hAnsi="Arial" w:cs="Arial"/>
          <w:sz w:val="20"/>
          <w:szCs w:val="20"/>
        </w:rPr>
      </w:pPr>
    </w:p>
    <w:p w:rsidR="00EF0C38" w:rsidRPr="00086F5C" w:rsidP="00EF0C38">
      <w:pPr>
        <w:rPr>
          <w:rFonts w:ascii="Arial" w:hAnsi="Arial" w:cs="Arial"/>
          <w:sz w:val="20"/>
          <w:szCs w:val="20"/>
        </w:rPr>
      </w:pPr>
      <w:r w:rsidRPr="00086F5C">
        <w:rPr>
          <w:rFonts w:ascii="Arial" w:hAnsi="Arial" w:cs="Arial"/>
          <w:sz w:val="20"/>
          <w:szCs w:val="20"/>
        </w:rPr>
        <w:instrText xml:space="preserve">For other health disciplines, a letter verifying completion of this activity will be provided if requested within 60 days of activity completion: please email your request to </w:instrText>
      </w:r>
      <w:r w:rsidRPr="00086F5C">
        <w:rPr>
          <w:rFonts w:ascii="Arial" w:hAnsi="Arial" w:cs="Arial"/>
          <w:color w:val="0432FF"/>
          <w:sz w:val="20"/>
          <w:szCs w:val="20"/>
          <w:u w:val="single"/>
        </w:rPr>
        <w:instrText>PharmacyEducation@mdanderson.org</w:instrText>
      </w:r>
      <w:r w:rsidRPr="00086F5C">
        <w:rPr>
          <w:rFonts w:ascii="Arial" w:hAnsi="Arial" w:cs="Arial"/>
          <w:sz w:val="20"/>
          <w:szCs w:val="20"/>
        </w:rPr>
        <w:instrText>.</w:instrText>
      </w:r>
    </w:p>
    <w:p w:rsidR="00EF0C38" w:rsidRPr="00086F5C" w:rsidP="00B00CE5">
      <w:pPr>
        <w:rPr>
          <w:rFonts w:ascii="Arial" w:hAnsi="Arial" w:cs="Arial"/>
          <w:sz w:val="20"/>
          <w:szCs w:val="20"/>
        </w:rPr>
      </w:pPr>
    </w:p>
    <w:p w:rsidR="009D1B34" w:rsidRPr="00086F5C" w:rsidP="00B00CE5">
      <w:pPr>
        <w:rPr>
          <w:rFonts w:ascii="Arial" w:hAnsi="Arial" w:cs="Arial"/>
          <w:b/>
          <w:bCs/>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800780">
        <w:rPr>
          <w:rFonts w:ascii="Arial" w:hAnsi="Arial" w:cs="Arial"/>
          <w:sz w:val="20"/>
          <w:szCs w:val="20"/>
        </w:rPr>
        <w:fldChar w:fldCharType="begin"/>
      </w:r>
      <w:r w:rsidRPr="00086F5C" w:rsidR="00800780">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19.50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1</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1</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sidR="00800780">
        <w:rPr>
          <w:rFonts w:ascii="Arial" w:hAnsi="Arial" w:cs="Arial"/>
          <w:sz w:val="20"/>
          <w:szCs w:val="20"/>
        </w:rPr>
        <w:instrText xml:space="preserve"> "</w:instrText>
      </w:r>
      <w:r w:rsidRPr="00086F5C" w:rsidR="00800780">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inline distT="0" distB="0" distL="0" distR="0">
                  <wp:extent cx="1133475" cy="9620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574" cy="962109"/>
                          </a:xfrm>
                          <a:prstGeom prst="rect">
                            <a:avLst/>
                          </a:prstGeom>
                          <a:noFill/>
                          <a:ln>
                            <a:noFill/>
                          </a:ln>
                        </pic:spPr>
                      </pic:pic>
                    </a:graphicData>
                  </a:graphic>
                </wp:inline>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960212" w:rsidRPr="00086F5C" w:rsidP="00B00CE5">
      <w:pPr>
        <w:rPr>
          <w:rFonts w:ascii="Arial" w:hAnsi="Arial" w:cs="Arial"/>
          <w:b/>
          <w:bCs/>
          <w:sz w:val="20"/>
          <w:szCs w:val="20"/>
        </w:rPr>
      </w:pPr>
    </w:p>
    <w:p w:rsidR="002254FB"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p>
    <w:p w:rsidR="00BA42A0" w:rsidRPr="00086F5C" w:rsidP="002254FB">
      <w:pPr>
        <w:rPr>
          <w:rFonts w:ascii="Arial" w:hAnsi="Arial" w:cs="Arial"/>
          <w:sz w:val="20"/>
          <w:szCs w:val="20"/>
        </w:rPr>
        <w:sectPr w:rsidSect="00D44D42">
          <w:footerReference w:type="default" r:id="rId7"/>
          <w:type w:val="continuous"/>
          <w:pgSz w:w="12240" w:h="15840"/>
          <w:pgMar w:top="720" w:right="720" w:bottom="720" w:left="720" w:header="720" w:footer="720" w:gutter="0"/>
          <w:cols w:space="720"/>
          <w:docGrid w:linePitch="360"/>
        </w:sectPr>
      </w:pPr>
    </w:p>
    <w:p w:rsidR="00BA42A0" w:rsidRPr="00086F5C" w:rsidP="00B00CE5">
      <w:pPr>
        <w:rPr>
          <w:rFonts w:ascii="Arial" w:hAnsi="Arial" w:cs="Arial"/>
          <w:sz w:val="20"/>
          <w:szCs w:val="20"/>
        </w:rPr>
        <w:sectPr w:rsidSect="00BA42A0">
          <w:type w:val="continuous"/>
          <w:pgSz w:w="12240" w:h="15840"/>
          <w:pgMar w:top="720" w:right="720" w:bottom="720" w:left="720" w:header="720" w:footer="720" w:gutter="0"/>
          <w:cols w:num="2" w:space="0" w:equalWidth="0">
            <w:col w:w="720"/>
            <w:col w:w="10080"/>
          </w:cols>
          <w:docGrid w:linePitch="360"/>
        </w:sectPr>
      </w:pPr>
      <w:r w:rsidRPr="00086F5C">
        <w:rPr>
          <w:rFonts w:ascii="Arial" w:hAnsi="Arial" w:cs="Arial"/>
          <w:noProof/>
          <w:sz w:val="20"/>
          <w:szCs w:val="20"/>
        </w:rPr>
        <w:drawing>
          <wp:inline distT="0" distB="0" distL="0" distR="0">
            <wp:extent cx="409433" cy="389530"/>
            <wp:effectExtent l="0" t="0" r="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411426" cy="391426"/>
                    </a:xfrm>
                    <a:prstGeom prst="rect">
                      <a:avLst/>
                    </a:prstGeom>
                  </pic:spPr>
                </pic:pic>
              </a:graphicData>
            </a:graphic>
          </wp:inline>
        </w:drawing>
      </w:r>
      <w:r w:rsidRPr="00086F5C">
        <w:rPr>
          <w:rFonts w:ascii="Arial" w:hAnsi="Arial" w:cs="Arial"/>
          <w:sz w:val="20"/>
          <w:szCs w:val="20"/>
        </w:rPr>
        <w:br w:type="column"/>
      </w:r>
      <w:r w:rsidRPr="00086F5C" w:rsidR="002254FB">
        <w:rPr>
          <w:rFonts w:ascii="Arial" w:hAnsi="Arial" w:cs="Arial"/>
          <w:sz w:val="20"/>
          <w:szCs w:val="20"/>
        </w:rPr>
        <w:instrText xml:space="preserve">The University of Texas MD Anderson Cancer Center is accredited by the Accreditation Council for Pharmacy Education as a provider of continuing pharmacy education. This application-based activity has been approved for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ACPEHoursMax \# 0.00#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contact hour(s)</w:instrText>
      </w:r>
      <w:r w:rsidRPr="00086F5C">
        <w:rPr>
          <w:rFonts w:ascii="Arial" w:hAnsi="Arial" w:cs="Arial"/>
          <w:sz w:val="20"/>
          <w:szCs w:val="20"/>
        </w:rPr>
        <w:instrText xml:space="preserve">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ACPEHoursMax </w:instrText>
      </w:r>
      <w:r w:rsidRPr="00086F5C" w:rsidR="008A728B">
        <w:rPr>
          <w:rFonts w:ascii="Arial" w:hAnsi="Arial" w:cs="Arial"/>
          <w:sz w:val="20"/>
          <w:szCs w:val="20"/>
        </w:rPr>
        <w:instrText xml:space="preserve">\# 0.00#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10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CEU)</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ACPETechUAN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&gt; 0 "</w:instrText>
      </w:r>
      <w:r w:rsidRPr="00086F5C" w:rsidR="00462A4A">
        <w:rPr>
          <w:rFonts w:ascii="Arial" w:hAnsi="Arial" w:cs="Arial"/>
          <w:sz w:val="20"/>
          <w:szCs w:val="20"/>
        </w:rPr>
        <w:instrText xml:space="preserve"> under universal activity number </w:instrText>
      </w:r>
      <w:r w:rsidRPr="00086F5C" w:rsidR="002254FB">
        <w:rPr>
          <w:rFonts w:ascii="Arial" w:hAnsi="Arial" w:cs="Arial"/>
          <w:sz w:val="20"/>
          <w:szCs w:val="20"/>
        </w:rPr>
        <w:instrText xml:space="preserve">(UAN)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772BA">
        <w:rPr>
          <w:rFonts w:ascii="Arial" w:hAnsi="Arial" w:cs="Arial"/>
          <w:sz w:val="20"/>
          <w:szCs w:val="20"/>
        </w:rPr>
        <w:instrText xml:space="preserve"> &lt;&gt; "" " / " ""</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p>
    <w:p w:rsidR="00960212" w:rsidRPr="00086F5C" w:rsidP="00B00CE5">
      <w:pPr>
        <w:rPr>
          <w:rFonts w:ascii="Arial" w:hAnsi="Arial" w:cs="Arial"/>
          <w:sz w:val="20"/>
          <w:szCs w:val="20"/>
        </w:rPr>
      </w:pPr>
    </w:p>
    <w:p w:rsidR="00DA0222" w:rsidRPr="00086F5C" w:rsidP="00DA0222">
      <w:pPr>
        <w:rPr>
          <w:rFonts w:ascii="Arial" w:hAnsi="Arial" w:cs="Arial"/>
          <w:sz w:val="20"/>
          <w:szCs w:val="20"/>
        </w:rPr>
      </w:pPr>
      <w:r w:rsidRPr="00086F5C">
        <w:rPr>
          <w:rFonts w:ascii="Arial" w:hAnsi="Arial" w:cs="Arial"/>
          <w:sz w:val="20"/>
          <w:szCs w:val="20"/>
        </w:rPr>
        <w:instrText>" ""</w:instrText>
      </w:r>
      <w:r w:rsidRPr="00086F5C" w:rsidR="00800780">
        <w:rPr>
          <w:rFonts w:ascii="Arial" w:hAnsi="Arial" w:cs="Arial"/>
          <w:sz w:val="20"/>
          <w:szCs w:val="20"/>
        </w:rPr>
        <w:instrText xml:space="preserve">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800780">
        <w:rPr>
          <w:rFonts w:ascii="Arial" w:hAnsi="Arial" w:cs="Arial"/>
          <w:sz w:val="20"/>
          <w:szCs w:val="20"/>
        </w:rPr>
        <w:instrText xml:space="preserve">" "" </w:instrText>
      </w:r>
      <w:r w:rsidRPr="00086F5C" w:rsidR="00800780">
        <w:rPr>
          <w:rFonts w:ascii="Arial" w:hAnsi="Arial" w:cs="Arial"/>
          <w:sz w:val="20"/>
          <w:szCs w:val="20"/>
        </w:rPr>
        <w:fldChar w:fldCharType="separate"/>
      </w:r>
      <w:r w:rsidRPr="00086F5C" w:rsidR="00800780">
        <w:rPr>
          <w:rFonts w:ascii="Arial" w:hAnsi="Arial" w:cs="Arial"/>
          <w:b/>
          <w:bCs/>
          <w:sz w:val="20"/>
          <w:szCs w:val="20"/>
        </w:rPr>
        <w:t>Accreditation:</w:t>
      </w:r>
      <w:r w:rsidRPr="00086F5C" w:rsidR="009D1B34">
        <w:rPr>
          <w:rFonts w:ascii="Arial" w:hAnsi="Arial" w:cs="Arial"/>
          <w:b/>
          <w:bCs/>
          <w:sz w:val="20"/>
          <w:szCs w:val="20"/>
        </w:rPr>
        <w:t xml:space="preserve"> </w: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inline distT="0" distB="0" distL="0" distR="0">
                  <wp:extent cx="1133475" cy="962025"/>
                  <wp:effectExtent l="0" t="0" r="9525" b="9525"/>
                  <wp:docPr id="1312508157"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574" cy="962109"/>
                          </a:xfrm>
                          <a:prstGeom prst="rect">
                            <a:avLst/>
                          </a:prstGeom>
                          <a:noFill/>
                          <a:ln>
                            <a:noFill/>
                          </a:ln>
                        </pic:spPr>
                      </pic:pic>
                    </a:graphicData>
                  </a:graphic>
                </wp:inline>
              </w:drawing>
            </w:r>
          </w:p>
        </w:tc>
        <w:tc>
          <w:tcPr>
            <w:tcW w:w="9216" w:type="dxa"/>
            <w:hideMark/>
          </w:tcPr>
          <w:p w:rsidR="009D1B34" w:rsidP="00C7780F">
            <w:pPr>
              <w:rPr>
                <w:rFonts w:ascii="Arial" w:hAnsi="Arial" w:cs="Arial"/>
                <w:bCs/>
                <w:iCs/>
              </w:rPr>
            </w:pPr>
            <w:r w:rsidRPr="00086F5C">
              <w:rPr>
                <w:rFonts w:ascii="Arial" w:hAnsi="Arial" w:cs="Arial"/>
                <w:bCs/>
                <w:iCs/>
              </w:rPr>
              <w:t xml:space="preserve">In support of improving patient care, </w:t>
            </w:r>
            <w:r w:rsidRPr="00086F5C" w:rsidR="00A93DC2">
              <w:rPr>
                <w:rFonts w:ascii="Arial" w:hAnsi="Arial" w:cs="Arial"/>
                <w:bCs/>
                <w:iCs/>
              </w:rPr>
              <w:t>The University of Texas MD Anderson Cancer Center</w:t>
            </w:r>
            <w:r w:rsidRPr="00086F5C" w:rsidR="004C142C">
              <w:rPr>
                <w:rFonts w:ascii="Arial" w:hAnsi="Arial" w:cs="Arial"/>
                <w:bCs/>
                <w:iCs/>
              </w:rPr>
              <w:t xml:space="preserve"> </w:t>
            </w:r>
            <w:r w:rsidRPr="00086F5C">
              <w:rPr>
                <w:rFonts w:ascii="Arial" w:hAnsi="Arial" w:cs="Arial"/>
                <w:bCs/>
                <w:iCs/>
              </w:rPr>
              <w:t>is jointly accredited by the Accreditation Council for Continuing Medical Education (ACCME), the Accreditation Council for Pharmacy Education (ACPE), and the American Nurses Credentialing Center (ANCC)</w:t>
            </w:r>
            <w:r w:rsidRPr="00086F5C" w:rsidR="000B6AB2">
              <w:rPr>
                <w:rFonts w:ascii="Arial" w:hAnsi="Arial" w:cs="Arial"/>
                <w:bCs/>
                <w:iCs/>
              </w:rPr>
              <w:t>,</w:t>
            </w:r>
            <w:r w:rsidRPr="00086F5C">
              <w:rPr>
                <w:rFonts w:ascii="Arial" w:hAnsi="Arial" w:cs="Arial"/>
                <w:bCs/>
                <w:iCs/>
              </w:rPr>
              <w:t xml:space="preserve"> to provide continuing education for the healthcare team.</w: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960212" w:rsidRPr="00086F5C" w:rsidP="00B00CE5">
      <w:pPr>
        <w:rPr>
          <w:rFonts w:ascii="Arial" w:hAnsi="Arial" w:cs="Arial"/>
          <w:b/>
          <w:bCs/>
          <w:sz w:val="20"/>
          <w:szCs w:val="20"/>
        </w:rPr>
      </w:pPr>
    </w:p>
    <w:p w:rsidR="002254FB" w:rsidRPr="00086F5C" w:rsidP="00B00CE5">
      <w:pPr>
        <w:rPr>
          <w:rFonts w:ascii="Arial" w:hAnsi="Arial" w:cs="Arial"/>
          <w:sz w:val="20"/>
          <w:szCs w:val="20"/>
        </w:rPr>
      </w:pPr>
      <w:r w:rsidRPr="00086F5C" w:rsidR="00800780">
        <w:rPr>
          <w:rFonts w:ascii="Arial" w:hAnsi="Arial" w:cs="Arial"/>
          <w:sz w:val="20"/>
          <w:szCs w:val="20"/>
        </w:rPr>
        <w:fldChar w:fldCharType="end"/>
      </w:r>
      <w:r w:rsidRPr="00086F5C" w:rsidR="007C1141">
        <w:rPr>
          <w:rFonts w:ascii="Arial" w:hAnsi="Arial" w:cs="Arial"/>
          <w:sz w:val="20"/>
          <w:szCs w:val="20"/>
        </w:rPr>
        <w:t xml:space="preserve"> </w:t>
      </w: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19.50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instrText>live activity</w:instrText>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19.50</w:instrText>
      </w:r>
      <w:r w:rsidRPr="00086F5C">
        <w:rPr>
          <w:rFonts w:ascii="Arial" w:hAnsi="Arial" w:cs="Arial"/>
          <w:sz w:val="20"/>
          <w:szCs w:val="20"/>
        </w:rPr>
        <w:instrText xml:space="preserve"> &gt; 0 "</w:instrText>
      </w:r>
      <w:r w:rsidRPr="00086F5C">
        <w:rPr>
          <w:rFonts w:ascii="Arial" w:hAnsi="Arial" w:cs="Arial"/>
          <w:sz w:val="20"/>
          <w:szCs w:val="20"/>
        </w:rPr>
        <w:instrText>19.50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19.50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separate"/>
      </w:r>
    </w:p>
    <w:p w:rsidR="00B01839" w:rsidRPr="00086F5C" w:rsidP="007C1141">
      <w:pPr>
        <w:rPr>
          <w:rFonts w:ascii="Arial" w:hAnsi="Arial" w:cs="Arial"/>
          <w:sz w:val="20"/>
          <w:szCs w:val="20"/>
        </w:rPr>
      </w:pP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for a maximum of </w:t>
      </w:r>
      <w:r w:rsidRPr="00086F5C">
        <w:rPr>
          <w:rFonts w:ascii="Arial" w:hAnsi="Arial" w:cs="Arial"/>
          <w:sz w:val="20"/>
          <w:szCs w:val="20"/>
        </w:rPr>
        <w:t>19.50</w:t>
      </w:r>
      <w:r w:rsidRPr="00086F5C">
        <w:rPr>
          <w:rFonts w:ascii="Arial" w:hAnsi="Arial" w:cs="Arial"/>
          <w:sz w:val="20"/>
          <w:szCs w:val="20"/>
        </w:rPr>
        <w:t xml:space="preserve"> </w:t>
      </w:r>
      <w:r w:rsidRPr="00086F5C">
        <w:rPr>
          <w:rFonts w:ascii="Arial" w:hAnsi="Arial" w:cs="Arial"/>
          <w:i/>
          <w:iCs/>
          <w:sz w:val="20"/>
          <w:szCs w:val="20"/>
        </w:rPr>
        <w:t>AMA PRA Category 1</w:t>
      </w:r>
      <w:r w:rsidRPr="00086F5C">
        <w:rPr>
          <w:rFonts w:ascii="Arial" w:hAnsi="Arial" w:cs="Arial"/>
          <w:sz w:val="20"/>
          <w:szCs w:val="20"/>
        </w:rPr>
        <w:t xml:space="preserve"> </w:t>
      </w:r>
      <w:r w:rsidRPr="00086F5C">
        <w:rPr>
          <w:rFonts w:ascii="Arial" w:hAnsi="Arial" w:cs="Arial"/>
          <w:i/>
          <w:iCs/>
          <w:sz w:val="20"/>
          <w:szCs w:val="20"/>
        </w:rPr>
        <w:t>Credits</w:t>
      </w:r>
      <w:r w:rsidRPr="00086F5C">
        <w:rPr>
          <w:rFonts w:ascii="Arial" w:hAnsi="Arial" w:cs="Arial"/>
          <w:sz w:val="20"/>
          <w:szCs w:val="20"/>
          <w:vertAlign w:val="superscript"/>
        </w:rPr>
        <w:t>TM</w:t>
      </w:r>
      <w:r w:rsidRPr="00086F5C">
        <w:rPr>
          <w:rFonts w:ascii="Arial" w:hAnsi="Arial" w:cs="Arial"/>
          <w:sz w:val="20"/>
          <w:szCs w:val="20"/>
        </w:rPr>
        <w:t>. Physicians should claim only the credit commensurate with the extent of their participation in the activity.</w: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sidR="008878BC">
        <w:rPr>
          <w:rFonts w:ascii="Arial" w:hAnsi="Arial" w:cs="Arial"/>
          <w:sz w:val="20"/>
          <w:szCs w:val="20"/>
        </w:rPr>
        <w:instrText xml:space="preserve"> </w:instrText>
      </w:r>
      <w:r w:rsidRPr="00086F5C">
        <w:rPr>
          <w:rFonts w:ascii="Arial" w:hAnsi="Arial" w:cs="Arial"/>
          <w:sz w:val="20"/>
          <w:szCs w:val="20"/>
        </w:rPr>
        <w:instrText>1.50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instrText>live activity</w:instrText>
      </w:r>
      <w:r w:rsidRPr="00086F5C" w:rsidR="008878BC">
        <w:rPr>
          <w:rFonts w:ascii="Arial" w:hAnsi="Arial" w:cs="Arial"/>
          <w:sz w:val="20"/>
          <w:szCs w:val="20"/>
        </w:rPr>
        <w:instrText xml:space="preserve"> for a maximum of </w:instrText>
      </w:r>
      <w:r w:rsidRPr="00086F5C" w:rsidR="008878BC">
        <w:rPr>
          <w:rFonts w:ascii="Arial" w:hAnsi="Arial" w:cs="Arial"/>
          <w:sz w:val="20"/>
          <w:szCs w:val="20"/>
        </w:rPr>
        <w:instrText>1.50</w:instrText>
      </w:r>
      <w:r w:rsidRPr="00086F5C">
        <w:rPr>
          <w:rFonts w:ascii="Arial" w:hAnsi="Arial" w:cs="Arial"/>
          <w:sz w:val="20"/>
          <w:szCs w:val="20"/>
        </w:rPr>
        <w:instrText xml:space="preserve"> </w:instrText>
      </w:r>
      <w:r w:rsidRPr="00086F5C" w:rsidR="008878B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for a maximum of </w:t>
      </w:r>
      <w:r w:rsidRPr="00086F5C">
        <w:rPr>
          <w:rFonts w:ascii="Arial" w:hAnsi="Arial" w:cs="Arial"/>
          <w:sz w:val="20"/>
          <w:szCs w:val="20"/>
        </w:rPr>
        <w:t>1.50</w:t>
      </w:r>
      <w:r w:rsidRPr="00086F5C">
        <w:rPr>
          <w:rFonts w:ascii="Arial" w:hAnsi="Arial" w:cs="Arial"/>
          <w:sz w:val="20"/>
          <w:szCs w:val="20"/>
        </w:rPr>
        <w:t xml:space="preserve"> </w:t>
      </w:r>
      <w:r w:rsidRPr="00086F5C">
        <w:rPr>
          <w:rFonts w:ascii="Arial" w:hAnsi="Arial" w:cs="Arial"/>
          <w:sz w:val="20"/>
          <w:szCs w:val="20"/>
        </w:rPr>
        <w:t>credit(s) of education in medical ethics and/or professional responsibility.</w:t>
      </w:r>
    </w:p>
    <w:p w:rsidR="00F735B5" w:rsidRPr="00086F5C" w:rsidP="007C1141">
      <w:pPr>
        <w:rPr>
          <w:rFonts w:ascii="Arial" w:hAnsi="Arial" w:cs="Arial"/>
          <w:sz w:val="20"/>
          <w:szCs w:val="20"/>
        </w:rPr>
      </w:pPr>
    </w:p>
    <w:p w:rsidR="00B01839"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PainHoursMax \#0.00# </w:instrText>
      </w:r>
      <w:r w:rsidRPr="00086F5C">
        <w:rPr>
          <w:rFonts w:ascii="Arial" w:hAnsi="Arial" w:cs="Arial"/>
          <w:sz w:val="20"/>
          <w:szCs w:val="20"/>
        </w:rPr>
        <w:fldChar w:fldCharType="separate"/>
      </w:r>
      <w:r w:rsidRPr="00086F5C">
        <w:rPr>
          <w:rFonts w:ascii="Arial" w:hAnsi="Arial" w:cs="Arial"/>
          <w:noProof/>
          <w:sz w:val="20"/>
          <w:szCs w:val="20"/>
        </w:rPr>
        <w:instrText>«PainHoursMax»</w:instrText>
      </w:r>
      <w:r w:rsidRPr="00086F5C">
        <w:rPr>
          <w:rFonts w:ascii="Arial" w:hAnsi="Arial" w:cs="Arial"/>
          <w:sz w:val="20"/>
          <w:szCs w:val="20"/>
        </w:rPr>
        <w:fldChar w:fldCharType="end"/>
      </w:r>
      <w:r w:rsidRPr="00086F5C">
        <w:rPr>
          <w:rFonts w:ascii="Arial" w:hAnsi="Arial" w:cs="Arial"/>
          <w:sz w:val="20"/>
          <w:szCs w:val="20"/>
        </w:rPr>
        <w:instrText xml:space="preserve"> credit(s) of education in pain management and the prescription of opioids. </w:instrText>
      </w:r>
    </w:p>
    <w:p w:rsidR="007F22F8" w:rsidRPr="00086F5C" w:rsidP="007C1141">
      <w:pPr>
        <w:rPr>
          <w:rFonts w:ascii="Arial" w:hAnsi="Arial" w:cs="Arial"/>
          <w:sz w:val="20"/>
          <w:szCs w:val="20"/>
        </w:rPr>
      </w:pPr>
    </w:p>
    <w:p w:rsidR="00F415D9" w:rsidRPr="00086F5C" w:rsidP="00F415D9">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p>
    <w:p w:rsidR="00F415D9" w:rsidRPr="00086F5C" w:rsidP="00F415D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will award </w:instrText>
      </w:r>
      <w:r w:rsidRPr="00086F5C">
        <w:rPr>
          <w:rFonts w:ascii="Arial" w:hAnsi="Arial" w:cs="Arial"/>
          <w:sz w:val="20"/>
          <w:szCs w:val="20"/>
        </w:rPr>
        <w:fldChar w:fldCharType="begin"/>
      </w:r>
      <w:r w:rsidRPr="00086F5C">
        <w:rPr>
          <w:rFonts w:ascii="Arial" w:hAnsi="Arial" w:cs="Arial"/>
          <w:sz w:val="20"/>
          <w:szCs w:val="20"/>
        </w:rPr>
        <w:instrText xml:space="preserve"> MERGEFIELD  ANCCHoursMax \#0.00# </w:instrText>
      </w:r>
      <w:r w:rsidRPr="00086F5C">
        <w:rPr>
          <w:rFonts w:ascii="Arial" w:hAnsi="Arial" w:cs="Arial"/>
          <w:sz w:val="20"/>
          <w:szCs w:val="20"/>
        </w:rPr>
        <w:fldChar w:fldCharType="separate"/>
      </w:r>
      <w:r w:rsidRPr="00086F5C">
        <w:rPr>
          <w:rFonts w:ascii="Arial" w:hAnsi="Arial" w:cs="Arial"/>
          <w:noProof/>
          <w:sz w:val="20"/>
          <w:szCs w:val="20"/>
        </w:rPr>
        <w:instrText>«ANCCHoursMax»</w:instrText>
      </w:r>
      <w:r w:rsidRPr="00086F5C">
        <w:rPr>
          <w:rFonts w:ascii="Arial" w:hAnsi="Arial" w:cs="Arial"/>
          <w:sz w:val="20"/>
          <w:szCs w:val="20"/>
        </w:rPr>
        <w:fldChar w:fldCharType="end"/>
      </w:r>
      <w:r w:rsidRPr="00086F5C">
        <w:rPr>
          <w:rFonts w:ascii="Arial" w:hAnsi="Arial" w:cs="Arial"/>
          <w:sz w:val="20"/>
          <w:szCs w:val="20"/>
        </w:rPr>
        <w:instrText xml:space="preserve"> Nursing </w:instrText>
      </w:r>
      <w:r w:rsidR="00E27040">
        <w:rPr>
          <w:rFonts w:ascii="Arial" w:hAnsi="Arial" w:cs="Arial"/>
          <w:sz w:val="20"/>
          <w:szCs w:val="20"/>
        </w:rPr>
        <w:instrText>C</w:instrText>
      </w:r>
      <w:r w:rsidRPr="00086F5C">
        <w:rPr>
          <w:rFonts w:ascii="Arial" w:hAnsi="Arial" w:cs="Arial"/>
          <w:sz w:val="20"/>
          <w:szCs w:val="20"/>
        </w:rPr>
        <w:instrText xml:space="preserve">ontact </w:instrText>
      </w:r>
      <w:r w:rsidR="00E27040">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sidR="00ED6F60">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415D9" w:rsidRPr="00086F5C" w:rsidP="00F415D9">
      <w:pPr>
        <w:rPr>
          <w:rFonts w:ascii="Arial" w:hAnsi="Arial" w:cs="Arial"/>
          <w:sz w:val="20"/>
          <w:szCs w:val="20"/>
        </w:rPr>
      </w:pPr>
    </w:p>
    <w:p w:rsidR="00C9727C" w:rsidP="00C9727C">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Povider #4607) is an approved continuing education provider for Social Workers through the Texas State Board of Social Worker Examiners. this activity has been approved for </w:instrText>
      </w:r>
      <w:r>
        <w:rPr>
          <w:rFonts w:ascii="Arial" w:hAnsi="Arial" w:cs="Arial"/>
          <w:sz w:val="20"/>
          <w:szCs w:val="20"/>
        </w:rPr>
        <w:fldChar w:fldCharType="begin"/>
      </w:r>
      <w:r>
        <w:rPr>
          <w:rFonts w:ascii="Arial" w:hAnsi="Arial" w:cs="Arial"/>
          <w:sz w:val="20"/>
          <w:szCs w:val="20"/>
        </w:rPr>
        <w:instrText xml:space="preserve"> MERGEFIELD  "Social WorkHoursMax"  \* MERGEFORMAT </w:instrText>
      </w:r>
      <w:r>
        <w:rPr>
          <w:rFonts w:ascii="Arial" w:hAnsi="Arial" w:cs="Arial"/>
          <w:sz w:val="20"/>
          <w:szCs w:val="20"/>
        </w:rPr>
        <w:fldChar w:fldCharType="separate"/>
      </w:r>
      <w:r>
        <w:rPr>
          <w:rFonts w:ascii="Arial" w:hAnsi="Arial" w:cs="Arial"/>
          <w:noProof/>
          <w:sz w:val="20"/>
          <w:szCs w:val="20"/>
        </w:rPr>
        <w:instrText>«Social WorkHoursMax»</w:instrText>
      </w:r>
      <w:r>
        <w:rPr>
          <w:rFonts w:ascii="Arial" w:hAnsi="Arial" w:cs="Arial"/>
          <w:sz w:val="20"/>
          <w:szCs w:val="20"/>
        </w:rPr>
        <w:fldChar w:fldCharType="end"/>
      </w:r>
      <w:r>
        <w:rPr>
          <w:rFonts w:ascii="Arial" w:hAnsi="Arial" w:cs="Arial"/>
          <w:sz w:val="20"/>
          <w:szCs w:val="20"/>
        </w:rPr>
        <w:instrText xml:space="preserve"> continuing education units</w:instrText>
      </w:r>
    </w:p>
    <w:p w:rsidR="00C9727C" w:rsidP="00C9727C">
      <w:pPr>
        <w:rPr>
          <w:rFonts w:ascii="Arial" w:hAnsi="Arial" w:cs="Arial"/>
          <w:sz w:val="20"/>
          <w:szCs w:val="20"/>
        </w:rPr>
      </w:pPr>
    </w:p>
    <w:p w:rsidR="007F22F8" w:rsidRPr="00086F5C" w:rsidP="00C9727C">
      <w:pPr>
        <w:rPr>
          <w:rFonts w:ascii="Arial" w:hAnsi="Arial" w:cs="Arial"/>
          <w:b/>
          <w:bCs/>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r w:rsidRPr="00086F5C" w:rsidR="00546303">
        <w:rPr>
          <w:rFonts w:ascii="Arial" w:hAnsi="Arial" w:cs="Arial"/>
          <w:sz w:val="20"/>
          <w:szCs w:val="20"/>
        </w:rPr>
        <w:fldChar w:fldCharType="begin"/>
      </w:r>
      <w:r w:rsidRPr="00086F5C" w:rsidR="00546303">
        <w:rPr>
          <w:rFonts w:ascii="Arial" w:hAnsi="Arial" w:cs="Arial"/>
          <w:sz w:val="20"/>
          <w:szCs w:val="20"/>
        </w:rPr>
        <w:instrText xml:space="preserve"> IF</w:instrText>
      </w:r>
      <w:r w:rsidRPr="00086F5C" w:rsidR="00546303">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sidR="00546303">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0.00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ABIM2HoursMax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2C3C2C"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821A45">
        <w:rPr>
          <w:rFonts w:ascii="Arial" w:hAnsi="Arial" w:cs="Arial"/>
          <w:sz w:val="20"/>
          <w:szCs w:val="20"/>
        </w:rPr>
        <w:instrText xml:space="preserve">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Ophthalmology CC Credit:</w:instrText>
      </w:r>
    </w:p>
    <w:p w:rsidR="002C3C2C"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earns credit toward the Lifelong Learning requirement for the American Board of Ophthalmology's Continuing Certification program. It is the CME activity provider's responsibility to submit learner completion information to ACCME for the purpose of granting credit. </w:instrText>
      </w:r>
    </w:p>
    <w:p w:rsidR="002C3C2C"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w:instrText>
      </w:r>
      <w:r w:rsidRPr="00086F5C">
        <w:rPr>
          <w:rFonts w:ascii="Arial" w:hAnsi="Arial" w:cs="Arial"/>
          <w:sz w:val="20"/>
          <w:szCs w:val="20"/>
        </w:rPr>
        <w:instrText xml:space="preserve"> </w:instrText>
      </w:r>
      <w:r w:rsidRPr="00086F5C">
        <w:rPr>
          <w:rFonts w:ascii="Arial" w:hAnsi="Arial" w:cs="Arial"/>
          <w:b/>
          <w:bCs/>
          <w:sz w:val="20"/>
          <w:szCs w:val="20"/>
        </w:rPr>
        <w:instrText>of</w:instrText>
      </w:r>
      <w:r w:rsidRPr="00086F5C">
        <w:rPr>
          <w:rFonts w:ascii="Arial" w:hAnsi="Arial" w:cs="Arial"/>
          <w:sz w:val="20"/>
          <w:szCs w:val="20"/>
        </w:rPr>
        <w:instrText xml:space="preserve"> </w:instrText>
      </w:r>
      <w:r w:rsidRPr="00086F5C">
        <w:rPr>
          <w:rFonts w:ascii="Arial" w:hAnsi="Arial" w:cs="Arial"/>
          <w:b/>
          <w:bCs/>
          <w:sz w:val="20"/>
          <w:szCs w:val="20"/>
        </w:rPr>
        <w:instrText>Ophthalmology CC Credi</w:instrText>
      </w:r>
      <w:r w:rsidRPr="00086F5C">
        <w:rPr>
          <w:rFonts w:ascii="Arial" w:hAnsi="Arial" w:cs="Arial"/>
          <w:sz w:val="20"/>
          <w:szCs w:val="20"/>
        </w:rPr>
        <w:instrText>t</w:instrText>
      </w:r>
      <w:r w:rsidRPr="00086F5C">
        <w:rPr>
          <w:rFonts w:ascii="Arial" w:hAnsi="Arial" w:cs="Arial"/>
          <w:b/>
          <w:bCs/>
          <w:sz w:val="20"/>
          <w:szCs w:val="20"/>
        </w:rPr>
        <w:instrText>:</w:instrText>
      </w:r>
      <w:r w:rsidRPr="00086F5C">
        <w:rPr>
          <w:rFonts w:ascii="Arial" w:hAnsi="Arial" w:cs="Arial"/>
          <w:sz w:val="20"/>
          <w:szCs w:val="20"/>
        </w:rPr>
        <w:instrText xml:space="preserve"> </w:instrText>
      </w:r>
    </w:p>
    <w:p w:rsidR="009B4031" w:rsidRPr="00086F5C" w:rsidP="00B00CE5">
      <w:pPr>
        <w:rPr>
          <w:rFonts w:ascii="Arial" w:hAnsi="Arial" w:cs="Arial"/>
          <w:sz w:val="20"/>
          <w:szCs w:val="20"/>
        </w:rPr>
      </w:pPr>
      <w:r w:rsidRPr="00086F5C">
        <w:rPr>
          <w:rFonts w:ascii="Arial" w:hAnsi="Arial" w:cs="Arial"/>
          <w:sz w:val="20"/>
          <w:szCs w:val="20"/>
        </w:rPr>
        <w:instrText>Successful completion of this CME activity, which include participation in the evaluation component, earns credit toward the Lifelong Learning and Self-Assessment requirements for the American Board of Ophthalmology's Continuing Certification program. It is the CME activity provider's responsibility to submit learner completion information to ACCME for purpose of granting credit.</w:instrText>
      </w:r>
    </w:p>
    <w:p w:rsidR="009B4031"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19.50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w:instrText>
      </w:r>
      <w:r w:rsidRPr="00086F5C">
        <w:rPr>
          <w:rFonts w:ascii="Arial" w:hAnsi="Arial" w:cs="Arial"/>
          <w:sz w:val="20"/>
          <w:szCs w:val="20"/>
        </w:rPr>
        <w:instrText xml:space="preserve">the evaluation component,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b/>
          <w:bCs/>
          <w:sz w:val="20"/>
          <w:szCs w:val="20"/>
        </w:rPr>
        <w:t>American Board of Surgery CC Credit:</w:t>
      </w:r>
      <w:r w:rsidRPr="00086F5C" w:rsidR="00B10979">
        <w:rPr>
          <w:rFonts w:ascii="Arial" w:hAnsi="Arial" w:cs="Arial"/>
          <w:sz w:val="20"/>
          <w:szCs w:val="20"/>
        </w:rPr>
        <w:t xml:space="preserve"> </w:t>
      </w:r>
    </w:p>
    <w:p w:rsidR="001E2A73" w:rsidRPr="00086F5C" w:rsidP="00B00CE5">
      <w:pPr>
        <w:rPr>
          <w:rFonts w:ascii="Arial" w:hAnsi="Arial" w:cs="Arial"/>
          <w:sz w:val="20"/>
          <w:szCs w:val="20"/>
        </w:rPr>
      </w:pPr>
      <w:r w:rsidRPr="00086F5C">
        <w:rPr>
          <w:rFonts w:ascii="Arial" w:hAnsi="Arial" w:cs="Arial"/>
          <w:sz w:val="20"/>
          <w:szCs w:val="20"/>
        </w:rPr>
        <w:t xml:space="preserve">Successful completion of this CME activity, which includes participation in </w:t>
      </w:r>
      <w:r w:rsidRPr="00086F5C">
        <w:rPr>
          <w:rFonts w:ascii="Arial" w:hAnsi="Arial" w:cs="Arial"/>
          <w:sz w:val="20"/>
          <w:szCs w:val="20"/>
        </w:rPr>
        <w:t xml:space="preserve">the evaluation component, enables the learner to earn credit toward the CME of the American Board </w:t>
      </w:r>
      <w:r w:rsidRPr="00086F5C" w:rsidR="00821924">
        <w:rPr>
          <w:rFonts w:ascii="Arial" w:hAnsi="Arial" w:cs="Arial"/>
          <w:sz w:val="20"/>
          <w:szCs w:val="20"/>
        </w:rPr>
        <w:t xml:space="preserve">of </w:t>
      </w:r>
      <w:r w:rsidRPr="00086F5C">
        <w:rPr>
          <w:rFonts w:ascii="Arial" w:hAnsi="Arial" w:cs="Arial"/>
          <w:sz w:val="20"/>
          <w:szCs w:val="20"/>
        </w:rPr>
        <w:t xml:space="preserve">Surgery's Continous Certification program. It is the CME activity provider's responsibility </w:t>
      </w:r>
      <w:r w:rsidRPr="00086F5C" w:rsidR="00D86980">
        <w:rPr>
          <w:rFonts w:ascii="Arial" w:hAnsi="Arial" w:cs="Arial"/>
          <w:sz w:val="20"/>
          <w:szCs w:val="20"/>
        </w:rPr>
        <w:t>to</w:t>
      </w:r>
      <w:r w:rsidRPr="00086F5C">
        <w:rPr>
          <w:rFonts w:ascii="Arial" w:hAnsi="Arial" w:cs="Arial"/>
          <w:sz w:val="20"/>
          <w:szCs w:val="20"/>
        </w:rPr>
        <w:t xml:space="preserve"> submit learner completion information to ACCME for purpose of granting ABS credit.</w:t>
      </w:r>
    </w:p>
    <w:p w:rsidR="001E2A73"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D970B7" w:rsidRPr="00D075DF" w:rsidP="00D970B7">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19.50</w:instrText>
      </w:r>
      <w:r w:rsidRPr="00086F5C">
        <w:rPr>
          <w:rFonts w:ascii="Arial" w:hAnsi="Arial" w:cs="Arial"/>
          <w:sz w:val="20"/>
          <w:szCs w:val="20"/>
        </w:rPr>
        <w:instrText xml:space="preserve"> &gt; 0 " </w:instrText>
      </w:r>
    </w:p>
    <w:p w:rsidR="000757C7" w:rsidRPr="00086F5C" w:rsidP="00B00CE5">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sidR="0015221C">
        <w:rPr>
          <w:rFonts w:ascii="Arial" w:hAnsi="Arial" w:cs="Arial"/>
          <w:noProof/>
          <w:sz w:val="20"/>
          <w:szCs w:val="20"/>
        </w:rPr>
        <w:instrText>19.50</w:instrText>
      </w:r>
      <w:r w:rsidRPr="00086F5C">
        <w:rPr>
          <w:rFonts w:ascii="Arial" w:hAnsi="Arial" w:cs="Arial"/>
          <w:sz w:val="20"/>
          <w:szCs w:val="20"/>
        </w:rPr>
        <w:instrText xml:space="preserve"> AAPA Category 1 CME credits. PAs should only claim credit commensurate with the extent of their participation." </w:instrText>
      </w:r>
    </w:p>
    <w:p w:rsidR="000757C7" w:rsidRPr="00086F5C" w:rsidP="00B00CE5">
      <w:pPr>
        <w:rPr>
          <w:rFonts w:ascii="Arial" w:hAnsi="Arial" w:cs="Arial"/>
          <w:sz w:val="20"/>
          <w:szCs w:val="20"/>
        </w:rPr>
      </w:pPr>
    </w:p>
    <w:p w:rsidR="000757C7" w:rsidRPr="00086F5C" w:rsidP="00B00CE5">
      <w:pPr>
        <w:rPr>
          <w:rFonts w:ascii="Arial" w:hAnsi="Arial" w:cs="Arial"/>
          <w:sz w:val="20"/>
          <w:szCs w:val="20"/>
        </w:rPr>
      </w:pP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sidR="00D970B7">
        <w:rPr>
          <w:rFonts w:ascii="Arial" w:hAnsi="Arial" w:cs="Arial"/>
          <w:sz w:val="20"/>
          <w:szCs w:val="20"/>
        </w:rPr>
        <w:t xml:space="preserve"> </w:t>
      </w:r>
    </w:p>
    <w:p w:rsidRPr="00086F5C" w:rsidP="00B00CE5">
      <w:pPr>
        <w:rPr>
          <w:rFonts w:ascii="Arial" w:hAnsi="Arial" w:cs="Arial"/>
          <w:sz w:val="20"/>
          <w:szCs w:val="20"/>
        </w:rPr>
      </w:pPr>
      <w:r w:rsidRPr="00086F5C">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1960525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t xml:space="preserve">The University of Texas MD Anderson Cancer Center has been authorized by the American Academy of PAs (AAPA) to award AAPA Category 1 CME credit for activities planned in accordance with AAPA CME Criteria. This activity is designated for </w:t>
      </w:r>
      <w:r w:rsidRPr="00086F5C" w:rsidR="0015221C">
        <w:rPr>
          <w:rFonts w:ascii="Arial" w:hAnsi="Arial" w:cs="Arial"/>
          <w:noProof/>
          <w:sz w:val="20"/>
          <w:szCs w:val="20"/>
        </w:rPr>
        <w:t>19.50</w:t>
      </w:r>
      <w:r w:rsidRPr="00086F5C">
        <w:rPr>
          <w:rFonts w:ascii="Arial" w:hAnsi="Arial" w:cs="Arial"/>
          <w:sz w:val="20"/>
          <w:szCs w:val="20"/>
        </w:rPr>
        <w:t xml:space="preserve"> AAPA Category 1 CME credits. PAs should only claim credit commensurate with the extent of their participation.</w:t>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Gagneaux</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Rodabe N. Amaria,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Pharmaceuticals Corporation|Grant or research support-Merck Sharp &amp; Dohme Corp. (any division)|Grant or research support-Bristol-Myers Squibb Company|Grant or research support-Iovance|Membership on Advisory Committees or Review Panels, Board Membership, etc.-Novartis Pharmaceuticals Corporation|Grant or research support-Obsidian|Grant or research support-OnKure|Membership on Advisory Committees or Review Panels, Board Membership, etc.-Bristol-Myers Squibb Company|Membership on Advisory Committees or Review Panels, Board Membership, etc.-Iovance|Membership on Advisory Committees or Review Panels, Board Membership, etc.-Nektar (Relationship has ended) - 10/31/2023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Badgwell,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M Balch,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K Bednarski,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Caudle, MD, ABS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F Chapin,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Advisor-Johnson &amp; Johnson (any division)|Grant or research support-Regeneron Pharmaceuticals, Inc.|Advisor-Merck Research Laboratories and the Office of the Chief Medical Officer Grants|Advisor-Pfizer Inc.|Advisor-Janssen Biotech, Inc.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C Amin, MPA,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Lorenzo Cohen,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Colin Dinney,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US|Consulting Fee-CG Oncology|Grant or research support-NHI/NCI|Other: Drug-Nadofaragene firadenovec - 12/06/2023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Frank,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Corporation (Relationship has ended)|Membership on Advisory Committees or Review Panels, Board Membership, etc.-C4 Imaging|Grant or research support-Hitachi Medical Systems America, Inc.|Grant or research support-Affirmed Pharma|Honoraria-IBA - 12/10/2023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Frumovitz,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Fee-Stryker (any division)|Grant or research support-GlaxoSmithKline (Relationship has ended)|Grant or research support-AkesoBio|Consulting Fee-Seattle Genetics, Inc. (Relationship has ended)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Gershenwald,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Fee-Merck Sharp &amp; Dohme Corp. (any division)|Consulting Fee-Regeneron Pharmaceuticals, Inc. (Relationship has ended) - 09/29/2023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Isabella Glitza Oliva,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Fee-Novartis Pharmaceuticals Corporation|Grant or research support-Bristol-Myers Squibb Company|Grant or research support-Pfizer Inc.|Grant or research support-Merck Sharp &amp; Dohme Corp. (any division)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Wayne Hofstetter,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K. Hunt,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etc.-Armada Health|Membership on Advisory Committees or Review Panels, Board Membership, etc.-AstraZeneca US|Grant or research support-Lilly USA, LLC|Grant or research support-Cairn Surgical|Grant or research support-Lumicell - 11/06/2023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Rosa F Hwang,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support-Intuitive Surgical, Inc.|Membership on Advisory Committees or Review Panels, Board Membership, etc.-Stellanova Therapeutics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H Katz,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F Mansfield,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funds-Amgen Inc.|Stocks or stock options, excluding diversified mutual funds-Stryker (any division)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Reza Mehran,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Funda Meric-Bernstam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US|Consulting Fee-Biovica (Relationship has ended)|Consulting Fee-Black Diamond (Relationship has ended)|Consulting Fee-Eisai, Inc. (Relationship has ended)|Consulting Fee-F. Hoffmann La Roche (Relationship has ended)|Consulting Fee-Karyopharm Therapeutics (Relationship has ended)|Consulting Fee-Lengo Therapeutics (Relationship has ended)|Consulting Fee-LOXO-Oncology (Relationship has ended)|Consulting Fee-OnCusp Therapeutics (Relationship has ended)|Consulting Fee-Seattle Genetics, Inc.|Consulting Fee-Tallac Therapeutics (Relationship has ended)|Consulting Fee-Zentalis (Relationship has ended)|Consulting Fee-Zymeworks|Grant or research support-Aileron Therapeutics|Grant or research support-AstraZeneca US|Grant or research support-Bayer HealthCare Pharmaceuticals, Inc.|Grant or research support-Calithera|Grant or research support-CytomX Therapeutics|Grant or research support-Curis|Grant or research support-Daiichi Sankyo, Inc.|Grant or research support-Debiopharm|Grant or research support-eFFECTOR Therapeutics|Grant or research support-Genentech, Inc.|Grant or research support-Klus Pharma|Grant or research support-Novartis Pharmaceuticals Corporation|Grant or research support-Puma Pharmaceuticals|Grant or research support-Taiho Oncology, Inc.|Consulting Fee-GT Apeiron (Relationship has ended)|Consulting Fee-Menarini|Consulting Fee-Ecor1|Consulting Fee-Calibr (a division of Scripps Research),|Consulting Fee-LegoChem Bio|Consulting Fee-Theratechnologies|Honoraria-Dava Oncology (Relationship has ended)|Other: Travel Reimbursement-Dava Oncology (Relationship has ended)|Consulting Fee-Protai - 11/06/2023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Neema Navai,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Beneficiary-Allergan, Inc. - 11/29/2023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Timothy Newhook,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Fee-Intuitive Surgical, Inc. (Relationship has ended) - 12/08/2023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Quynh-Nhu Nguyen,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Anisha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support-Pfizer Inc. (Relationship has ended)|Grant or research support-OnQuality|Grant or research support-Lutris|Paid consultant-Deciphera|Paid consultant-Novartis Pharmaceuticals Corporation (Relationship has ended)|Paid consultant-Repare Therapeutics|Paid consultant-Janssen Biotech, Inc.|Grant or research support-Hoth|Paid consultant-Asymmetric|Paid consultant-Lutris - 09/16/2023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Sapna Patel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support-Bristol-Myers Squibb Company|Grant or research support-Foghorn Therapeutics|Grant or research support-Ideaya|Grant or research support-InxMed|Grant or research support-Lyvgen Biopharma|Grant or research support-Novartis Pharmaceuticals Corporation (Relationship has ended)|Grant or research support-Provectus Biopharmaceuticals|Grant or research support-Seattle Genetics, Inc.|Grant or research support-Syntrix Bio|Grant or research support-TriSalus Life Sciences|Membership on Advisory Committees or Review Panels, Board Membership, etc.-Delcath (Relationship has ended)|Membership on Advisory Committees or Review Panels, Board Membership, etc.-Bristol-Myers Squibb Company|Membership on Advisory Committees or Review Panels, Board Membership, etc.-Merck Sharp &amp; Dohme Corp. (any division)|Membership on Advisory Committees or Review Panels, Board Membership, etc.-Castle Biosciences, Inc. (Relationship has ended)|Membership on Advisory Committees or Review Panels, Board Membership, etc.-Ideaya|Membership on Advisory Committees or Review Panels, Board Membership, etc.-Novartis Pharmaceuticals Corporation (Relationship has ended)|Membership on Advisory Committees or Review Panels, Board Membership, etc.-OncoSec (Relationship has ended)|Membership on Advisory Committees or Review Panels, Board Membership, etc.-Pfizer Inc. (Relationship has ended)|Membership on Advisory Committees or Review Panels, Board Membership, etc.-Replimune (Relationship has ended)|Membership on Advisory Committees or Review Panels, Board Membership, etc.-TriSalus Life Sciences|Speakers Bureau-Bristol-Myers Squibb Company|Speakers Bureau-Merck Sharp &amp; Dohme Corp. (any division)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Pisters,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G Prieto , MD PhD, USCAP, ASDP, ISDP, CAP, ASCP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Fee-Myriad (Relationship has ended)|Consulting Fee-Orlucent|Consulting Fee-Castle Biosciences, Inc. - 12/24/2023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Rae B Reynolds, PhD,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Merrick I Ross,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Fee-Merck Sharp &amp; Dohme Corp. (any division)|Honoraria-Merck Sharp &amp; Dohme Corp. (any division)|Membership on Advisory Committees or Review Panels, Board Membership, etc.-Merck Sharp &amp; Dohme Corp. (any division) - 09/11/2023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M Schmeler,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G Swisher,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Hop Sanderson Tran Cao,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support-Intuitive Surgical, Inc.|Grant or research support-Merck Sharp &amp; Dohme Corp. (any division) - 01/01/2024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Ching-Wei D Tzeng,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Fee-PanTher|Consulting Fee-Iota - 12/08/2023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A. Wolff,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Alejandro Rauh-Hain, MD, Associate Professor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Fee-Schlesinger Group|Consulting Fee-Guidepoint - 11/29/2023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K. Litton,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Honoraria-UpToDate|Grant or research support-Pfizer Inc. (Relationship has ended)|Grant or research support-Merck Research Laboratories and the Office of the Chief Medical Officer Grants (Relationship has ended)|Grant or research support-Zenith (Relationship has ended)|Grant or research support-AstraZeneca US (Relationship has ended)|Grant or research support-EMD Serono Inc. (Relationship has ended)|Grant or research support-GlaxoSmithKline (Relationship has ended)|Grant or research support-Genentech, Inc. (Relationship has ended)|Speakers Bureau-Clinical Care Options|Speakers Bureau-Medscape|Speakers Bureau-Physician's Education Resource|Speakers Bureau-Prime Oncology (Relationship has ended)|Speakers Bureau-Medpage|Speakers Bureau-WebMD|Royalties or Patent Beneficiary-Certis|Speakers Bureau-@tumorboardtues (Relationship has ended) - 11/05/2023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Lavinia P Middleton,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Aysegul Sahin,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 Ciurea,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Cynthia Scott,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George Perkins,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Justin R. Gregg,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Advisor-Bayer HealthCare Pharmaceuticals, Inc. - 11/30/2023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 L Gibbons,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Advisor-Lilly USA, LLC (Relationship has ended)|Grant or research support-NGM Biopharmaceuticals (Relationship has ended)|Grant or research support-Boehringer Ingelheim|Advisor-Menarini Ricerche|Advisor-Onconova (Relationship has ended)|Grant or research support-AstraZeneca US (Relationship has ended)|Grant or research support-Sanofi US - 12/12/2023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Ethan B Ludmir,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Mariana C. Chavez MacGregor , MD, MSC, Associate Profesor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Pharmaceuticals Corporation (Relationship has ended)|Membership on Advisory Committees or Review Panels, Board Membership, etc.-Pfizer Inc. (Relationship has ended)|Membership on Advisory Committees or Review Panels, Board Membership, etc.-AstraZeneca US|Membership on Advisory Committees or Review Panels, Board Membership, etc.-Genentech, Inc.|Advisor-Genomic Health, Inc. (Relationship has ended) - 06/27/2023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Anh Q Dang,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K Subudhi,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McQuade,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Honoraria-Merck Sharp &amp; Dohme Corp. (any division) - 12/19/2023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 Aparicio,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Honoraria-Amgen Inc. (Relationship has ended)|Grant or research support-Bristol-Myers Squibb Company|Grant or research support-Sanofi US|Honoraria-Astellas Scientific and Medical Affairs, Inc. (Relationship has ended)|Honoraria-Daiichi Sankyo, Inc.|Membership on Advisory Committees or Review Panels, Board Membership, etc.-Janssen Biotech, Inc.|Honoraria-AstraZeneca US (Relationship has ended)|Membership on Advisory Committees or Review Panels, Board Membership, etc.-Pfizer Inc. - 12/01/2023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K Bree,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W Davis,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Advisor-Intuitive Surgical, Inc. (Relationship has ended)|Grant or research support-Janssen Biotech, Inc. - 12/28/2023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Roi Weiser,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T Campbell,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Advisor-Eisai, Inc. (Relationship has ended)|Advisor-Pfizer Inc. (Relationship has ended)|Consulting Fee-Exelixis (Relationship has ended)|Consulting Fee-Seattle Genetics, Inc. (Relationship has ended)|Grant or research support-Seattle Genetics, Inc.|Advisor-AXDev (Relationship has ended)|Grant or research support-Exelixis|Grant or research support-Pfizer Inc.|Grant or research support-Janssen Biotech, Inc.|Grant or research support-Aravive|Grant or research support-AstraZeneca US|Grant or research support-ApricityHealth (Relationship has ended) - 12/06/2023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Keith Delman,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C Russell,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Aloia,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A Buchholz,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Autumn Atkinson,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Advisor-Novartis Pharmaceuticals Corporation (Relationship has ended)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Hyngstrom,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support-Amgen Inc.|Grant or research support-Bristol-Myers Squibb Company|Grant or research support-Merck Sharp &amp; Dohme Corp. (any division)|Grant or research support-Lyell|Grant or research support-Natera|Grant or research support-Skyline|Grant or research support-Philogen|Grant or research support-Regeneron Pharmaceuticals, Inc.|Grant or research support-Iovance|Grant or research support-Morphogenesis|Grant or research support-Takara (Relationship has ended) - 12/11/2023</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Pr>
          <w:rFonts w:ascii="Arial" w:hAnsi="Arial" w:cs="Arial"/>
          <w:iCs/>
          <w:sz w:val="20"/>
          <w:szCs w:val="20"/>
        </w:rPr>
        <w:t>If this activity offers MOC, learner data (e.g., board member ID, first name, last name, DOB, CME credit data) will be shared with the ACCME and the applicable certifying board.</w:t>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w:t>
      </w:r>
      <w:r w:rsidRPr="00230CB2">
        <w:rPr>
          <w:rFonts w:ascii="Arial" w:eastAsia="Times New Roman" w:hAnsi="Arial" w:cs="Arial"/>
          <w:sz w:val="20"/>
          <w:szCs w:val="20"/>
        </w:rPr>
        <w:t xml:space="preserve">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w:t>
      </w:r>
      <w:r>
        <w:rPr>
          <w:rFonts w:ascii="Arial" w:hAnsi="Arial" w:cs="Arial"/>
          <w:sz w:val="20"/>
          <w:szCs w:val="20"/>
        </w:rPr>
        <w:t xml:space="preserve"> </w:t>
      </w:r>
      <w:r w:rsidRPr="00230CB2">
        <w:rPr>
          <w:rFonts w:ascii="Arial" w:hAnsi="Arial" w:cs="Arial"/>
          <w:sz w:val="20"/>
          <w:szCs w:val="20"/>
        </w:rPr>
        <w:t xml:space="preserve">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w:t>
      </w:r>
      <w:r w:rsidRPr="00230CB2">
        <w:rPr>
          <w:rFonts w:ascii="Arial" w:hAnsi="Arial" w:cs="Arial"/>
          <w:sz w:val="20"/>
          <w:szCs w:val="20"/>
        </w:rPr>
        <w:t>in order to</w:t>
      </w:r>
      <w:r w:rsidRPr="00230CB2">
        <w:rPr>
          <w:rFonts w:ascii="Arial" w:hAnsi="Arial" w:cs="Arial"/>
          <w:sz w:val="20"/>
          <w:szCs w:val="20"/>
        </w:rPr>
        <w:t xml:space="preserve">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lick the MOC Test button</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 xml:space="preserve">Diplomate ID and Date of Birth MM/DD) </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752BB5">
      <w:pPr>
        <w:rPr>
          <w:rFonts w:ascii="Arial" w:hAnsi="Arial" w:cs="Arial"/>
          <w:iCs/>
          <w:sz w:val="20"/>
          <w:szCs w:val="20"/>
        </w:rPr>
      </w:pPr>
    </w:p>
    <w:sectPr w:rsidSect="00D44D4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instrText xml:space="preserve">Contact us: </w:instrText>
    </w:r>
    <w:r>
      <w:fldChar w:fldCharType="begin"/>
    </w:r>
    <w:r>
      <w:instrText xml:space="preserve"> HYPERLINK "mailto:ContinuingEducation@mdanderson.org" </w:instrText>
    </w:r>
    <w:r>
      <w:fldChar w:fldCharType="separate"/>
    </w:r>
    <w:r w:rsidRPr="00042820">
      <w:rPr>
        <w:rStyle w:val="Hyperlink"/>
      </w:rPr>
      <w:instrText>ContinuingEducation@mdanderson.org</w:instrText>
    </w:r>
    <w:r>
      <w:fldChar w:fldCharType="end"/>
    </w:r>
    <w:r>
      <w:instrText xml:space="preserve"> </w:instrText>
    </w:r>
  </w:p>
  <w:p w:rsidR="002B4BA0">
    <w:pPr>
      <w:pStyle w:val="Footer"/>
    </w:pPr>
    <w:r>
      <w:instrText xml:space="preserve">PEP Website: </w:instrText>
    </w:r>
    <w:r>
      <w:fldChar w:fldCharType="begin"/>
    </w:r>
    <w:r>
      <w:instrText xml:space="preserve"> HYPERLINK "http://www.mdanderson.cloud-cme.com" </w:instrText>
    </w:r>
    <w:r>
      <w:fldChar w:fldCharType="separate"/>
    </w:r>
    <w:r w:rsidRPr="00042820">
      <w:rPr>
        <w:rStyle w:val="Hyperlink"/>
      </w:rPr>
      <w:instrText>www.mdanderson.cloud-cme.com</w:instrText>
    </w:r>
    <w:r>
      <w:fldChar w:fldCharType="end"/>
    </w:r>
    <w:r>
      <w:instrText xml:space="preserve"> </w:instrTex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45</cp:revision>
  <dcterms:created xsi:type="dcterms:W3CDTF">2023-01-30T17:54:00Z</dcterms:created>
  <dcterms:modified xsi:type="dcterms:W3CDTF">2023-12-27T16:22:00Z</dcterms:modified>
</cp:coreProperties>
</file>